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59EE" w:rsidRPr="00D43090" w:rsidRDefault="005459EE" w:rsidP="005459EE">
      <w:pPr>
        <w:pBdr>
          <w:top w:val="single" w:sz="4" w:space="1" w:color="auto"/>
          <w:left w:val="single" w:sz="4" w:space="4" w:color="auto"/>
          <w:bottom w:val="single" w:sz="4" w:space="1" w:color="auto"/>
          <w:right w:val="single" w:sz="4" w:space="4" w:color="auto"/>
        </w:pBdr>
        <w:autoSpaceDE w:val="0"/>
        <w:autoSpaceDN w:val="0"/>
        <w:rPr>
          <w:rFonts w:ascii="ＭＳ ゴシック" w:eastAsia="ＭＳ ゴシック" w:hAnsi="ＭＳ ゴシック"/>
          <w:sz w:val="22"/>
          <w:szCs w:val="22"/>
        </w:rPr>
      </w:pPr>
      <w:r w:rsidRPr="00D43090">
        <w:rPr>
          <w:rFonts w:ascii="ＭＳ ゴシック" w:eastAsia="ＭＳ ゴシック" w:hAnsi="ＭＳ ゴシック" w:hint="eastAsia"/>
          <w:sz w:val="22"/>
          <w:szCs w:val="22"/>
        </w:rPr>
        <w:t>＜自治体・労働局・地方議員への要請項目＞</w:t>
      </w:r>
    </w:p>
    <w:p w:rsidR="005459EE" w:rsidRPr="00D43090" w:rsidRDefault="005459EE" w:rsidP="005459EE">
      <w:pPr>
        <w:pBdr>
          <w:top w:val="single" w:sz="4" w:space="1" w:color="auto"/>
          <w:left w:val="single" w:sz="4" w:space="4" w:color="auto"/>
          <w:bottom w:val="single" w:sz="4" w:space="1" w:color="auto"/>
          <w:right w:val="single" w:sz="4" w:space="4" w:color="auto"/>
        </w:pBdr>
        <w:autoSpaceDE w:val="0"/>
        <w:autoSpaceDN w:val="0"/>
        <w:rPr>
          <w:rFonts w:ascii="ＭＳ ゴシック" w:eastAsia="ＭＳ ゴシック" w:hAnsi="ＭＳ ゴシック"/>
          <w:sz w:val="22"/>
          <w:szCs w:val="22"/>
        </w:rPr>
      </w:pPr>
      <w:r w:rsidRPr="00D43090">
        <w:rPr>
          <mc:AlternateContent>
            <mc:Choice Requires="w16se">
              <w:rFonts w:ascii="ＭＳ ゴシック" w:eastAsia="ＭＳ ゴシック" w:hAnsi="ＭＳ ゴシック" w:hint="eastAsia"/>
            </mc:Choice>
            <mc:Fallback>
              <w:rFonts w:hAnsi="ＭＳ 明朝" w:cs="ＭＳ 明朝" w:hint="eastAsia"/>
            </mc:Fallback>
          </mc:AlternateContent>
          <w:sz w:val="22"/>
          <w:szCs w:val="22"/>
        </w:rPr>
        <mc:AlternateContent>
          <mc:Choice Requires="w16se">
            <w16se:symEx w16se:font="ＭＳ 明朝" w16se:char="2462"/>
          </mc:Choice>
          <mc:Fallback>
            <w:t>③</w:t>
          </mc:Fallback>
        </mc:AlternateContent>
      </w:r>
      <w:r w:rsidRPr="00D43090">
        <w:rPr>
          <w:rFonts w:ascii="ＭＳ ゴシック" w:eastAsia="ＭＳ ゴシック" w:hAnsi="ＭＳ ゴシック" w:hint="eastAsia"/>
          <w:sz w:val="22"/>
          <w:szCs w:val="22"/>
        </w:rPr>
        <w:t>ものづくりマイスターの活用拡大</w:t>
      </w:r>
    </w:p>
    <w:p w:rsidR="005459EE" w:rsidRPr="00D43090" w:rsidRDefault="005459EE" w:rsidP="005459EE">
      <w:pPr>
        <w:autoSpaceDE w:val="0"/>
        <w:autoSpaceDN w:val="0"/>
        <w:ind w:firstLineChars="100" w:firstLine="216"/>
        <w:rPr>
          <w:rFonts w:hAnsi="ＭＳ 明朝"/>
          <w:szCs w:val="21"/>
        </w:rPr>
      </w:pPr>
      <w:r w:rsidRPr="00D43090">
        <w:rPr>
          <w:rFonts w:hAnsi="ＭＳ 明朝" w:hint="eastAsia"/>
          <w:szCs w:val="21"/>
        </w:rPr>
        <w:t>「ものづくりマイスター」による活動実績（受講者のべ人数）は全国で216,023人（2018年度）となっているが、他の地方自治体に比べて、実績が少ないと判断される場合は、活動拡大を促すこと。</w:t>
      </w:r>
    </w:p>
    <w:p w:rsidR="005459EE" w:rsidRPr="00D43090" w:rsidRDefault="005459EE" w:rsidP="005459EE">
      <w:pPr>
        <w:autoSpaceDE w:val="0"/>
        <w:autoSpaceDN w:val="0"/>
        <w:ind w:firstLineChars="100" w:firstLine="216"/>
        <w:rPr>
          <w:rFonts w:hAnsi="ＭＳ 明朝"/>
          <w:szCs w:val="21"/>
        </w:rPr>
      </w:pPr>
      <w:r w:rsidRPr="00D43090">
        <w:rPr>
          <w:rFonts w:hAnsi="ＭＳ 明朝" w:hint="eastAsia"/>
          <w:szCs w:val="21"/>
        </w:rPr>
        <w:t>なかでも工業高校・中小企業などにおける「実技指導」をとくに重視し、その拡大を図ること。</w:t>
      </w:r>
    </w:p>
    <w:p w:rsidR="005459EE" w:rsidRPr="00D43090" w:rsidRDefault="005459EE" w:rsidP="005459EE">
      <w:pPr>
        <w:autoSpaceDE w:val="0"/>
        <w:autoSpaceDN w:val="0"/>
        <w:rPr>
          <w:rFonts w:hAnsi="ＭＳ 明朝"/>
          <w:szCs w:val="21"/>
        </w:rPr>
      </w:pPr>
    </w:p>
    <w:p w:rsidR="005459EE" w:rsidRPr="00D43090" w:rsidRDefault="005459EE" w:rsidP="005459EE">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D43090">
        <w:rPr>
          <w:rFonts w:ascii="ＭＳ ゴシック" w:eastAsia="ＭＳ ゴシック" w:hAnsi="ＭＳ ゴシック" w:hint="eastAsia"/>
          <w:sz w:val="22"/>
          <w:szCs w:val="22"/>
        </w:rPr>
        <w:t>＜労働局・地方議員への要請項目＞</w:t>
      </w:r>
    </w:p>
    <w:p w:rsidR="005459EE" w:rsidRPr="00D43090" w:rsidRDefault="005459EE" w:rsidP="005459EE">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D43090">
        <w:rPr>
          <mc:AlternateContent>
            <mc:Choice Requires="w16se">
              <w:rFonts w:ascii="ＭＳ ゴシック" w:eastAsia="ＭＳ ゴシック" w:hAnsi="ＭＳ ゴシック" w:hint="eastAsia"/>
            </mc:Choice>
            <mc:Fallback>
              <w:rFonts w:hAnsi="ＭＳ 明朝" w:cs="ＭＳ 明朝" w:hint="eastAsia"/>
            </mc:Fallback>
          </mc:AlternateContent>
          <w:sz w:val="22"/>
          <w:szCs w:val="22"/>
        </w:rPr>
        <mc:AlternateContent>
          <mc:Choice Requires="w16se">
            <w16se:symEx w16se:font="ＭＳ 明朝" w16se:char="2463"/>
          </mc:Choice>
          <mc:Fallback>
            <w:t>④</w:t>
          </mc:Fallback>
        </mc:AlternateContent>
      </w:r>
      <w:r w:rsidRPr="00D43090">
        <w:rPr>
          <w:rFonts w:ascii="ＭＳ ゴシック" w:eastAsia="ＭＳ ゴシック" w:hAnsi="ＭＳ ゴシック" w:hint="eastAsia"/>
          <w:sz w:val="22"/>
          <w:szCs w:val="22"/>
        </w:rPr>
        <w:t>ものづくりマイスターの活用などに際しての労働組合などの参画</w:t>
      </w:r>
    </w:p>
    <w:p w:rsidR="005459EE" w:rsidRPr="00D43090" w:rsidRDefault="005459EE" w:rsidP="005459EE">
      <w:pPr>
        <w:autoSpaceDE w:val="0"/>
        <w:autoSpaceDN w:val="0"/>
        <w:ind w:firstLineChars="100" w:firstLine="216"/>
        <w:rPr>
          <w:rFonts w:asciiTheme="minorEastAsia" w:eastAsiaTheme="minorEastAsia" w:hAnsiTheme="minorEastAsia"/>
        </w:rPr>
      </w:pPr>
      <w:r w:rsidRPr="00D43090">
        <w:rPr>
          <w:rFonts w:asciiTheme="minorEastAsia" w:eastAsiaTheme="minorEastAsia" w:hAnsiTheme="minorEastAsia" w:hint="eastAsia"/>
        </w:rPr>
        <w:t>「ものづくりマイスター」の活用などを行う「若年技能者人材育成支援等事業」において設置される連携会議には、ものづくり産業の労働組合の代表や工業高校の代表をメンバーとして加えること。</w:t>
      </w:r>
    </w:p>
    <w:p w:rsidR="005459EE" w:rsidRDefault="005459EE" w:rsidP="005459EE">
      <w:pPr>
        <w:autoSpaceDE w:val="0"/>
        <w:autoSpaceDN w:val="0"/>
        <w:rPr>
          <w:rFonts w:asciiTheme="majorEastAsia" w:eastAsiaTheme="majorEastAsia" w:hAnsiTheme="majorEastAsia"/>
          <w:szCs w:val="21"/>
        </w:rPr>
      </w:pPr>
    </w:p>
    <w:p w:rsidR="005459EE" w:rsidRDefault="005459EE" w:rsidP="0078401B">
      <w:pPr>
        <w:autoSpaceDE w:val="0"/>
        <w:autoSpaceDN w:val="0"/>
      </w:pPr>
      <w:r w:rsidRPr="00D43090">
        <w:rPr>
          <mc:AlternateContent>
            <mc:Choice Requires="w16se">
              <w:rFonts w:asciiTheme="majorEastAsia" w:eastAsiaTheme="majorEastAsia" w:hAnsiTheme="majorEastAsia" w:hint="eastAsia"/>
            </mc:Choice>
            <mc:Fallback>
              <w:rFonts w:hAnsi="ＭＳ 明朝" w:cs="ＭＳ 明朝" w:hint="eastAsia"/>
            </mc:Fallback>
          </mc:AlternateContent>
          <w:szCs w:val="21"/>
        </w:rPr>
        <mc:AlternateContent>
          <mc:Choice Requires="w16se">
            <w16se:symEx w16se:font="ＭＳ 明朝" w16se:char="279D"/>
          </mc:Choice>
          <mc:Fallback>
            <w:t>➝</w:t>
          </mc:Fallback>
        </mc:AlternateContent>
      </w:r>
      <w:r w:rsidRPr="00D43090">
        <w:rPr>
          <w:rFonts w:asciiTheme="majorEastAsia" w:eastAsiaTheme="majorEastAsia" w:hAnsiTheme="majorEastAsia" w:hint="eastAsia"/>
          <w:szCs w:val="21"/>
        </w:rPr>
        <w:t xml:space="preserve">　背景説明</w:t>
      </w:r>
    </w:p>
    <w:p w:rsidR="005459EE" w:rsidRPr="00D43090" w:rsidRDefault="005459EE" w:rsidP="005459EE">
      <w:pPr>
        <w:autoSpaceDE w:val="0"/>
        <w:autoSpaceDN w:val="0"/>
        <w:ind w:firstLineChars="100" w:firstLine="216"/>
        <w:rPr>
          <w:rFonts w:asciiTheme="minorEastAsia" w:eastAsiaTheme="minorEastAsia" w:hAnsiTheme="minorEastAsia"/>
        </w:rPr>
      </w:pPr>
      <w:r w:rsidRPr="00D43090">
        <w:rPr>
          <w:rFonts w:asciiTheme="minorEastAsia" w:eastAsiaTheme="minorEastAsia" w:hAnsiTheme="minorEastAsia" w:hint="eastAsia"/>
        </w:rPr>
        <w:t>「ものづくりマイスター」の活動実績を見ると、2018年度で受講者のべ人数が216,023人、うち工業高校や中小企業に対する実技指導が138,448人となっており、徐々に拡大してきています。しかしながら、都道府県別に工業高校などに対する実技指導の受講者のべ人数を見ると、和歌山県が3,390人となっているのに対し、岩手県では305人に止まるなど、違いが大きい状況にあり、他の地方自治体に比べて実績が少ないと判断される場合には、委託を受けている地元の職業能力開発協会に対して活動の拡大を促していく必要があります。</w:t>
      </w:r>
    </w:p>
    <w:p w:rsidR="005459EE" w:rsidRPr="00D43090" w:rsidRDefault="005459EE" w:rsidP="005459EE">
      <w:pPr>
        <w:autoSpaceDE w:val="0"/>
        <w:autoSpaceDN w:val="0"/>
        <w:ind w:firstLineChars="100" w:firstLine="216"/>
        <w:rPr>
          <w:rFonts w:asciiTheme="minorEastAsia" w:eastAsiaTheme="minorEastAsia" w:hAnsiTheme="minorEastAsia"/>
        </w:rPr>
      </w:pPr>
    </w:p>
    <w:p w:rsidR="005459EE" w:rsidRPr="00D43090" w:rsidRDefault="005459EE" w:rsidP="005459EE">
      <w:pPr>
        <w:autoSpaceDE w:val="0"/>
        <w:autoSpaceDN w:val="0"/>
        <w:ind w:left="216" w:hangingChars="100" w:hanging="216"/>
        <w:jc w:val="center"/>
        <w:rPr>
          <w:rFonts w:asciiTheme="minorEastAsia" w:eastAsiaTheme="minorEastAsia" w:hAnsiTheme="minorEastAsia"/>
        </w:rPr>
      </w:pPr>
      <w:r w:rsidRPr="006E1304">
        <w:rPr>
          <w:noProof/>
        </w:rPr>
        <w:drawing>
          <wp:inline distT="0" distB="0" distL="0" distR="0" wp14:anchorId="7D7D203F" wp14:editId="444AFAFD">
            <wp:extent cx="4585320" cy="930960"/>
            <wp:effectExtent l="0" t="0" r="2540" b="698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5320" cy="930960"/>
                    </a:xfrm>
                    <a:prstGeom prst="rect">
                      <a:avLst/>
                    </a:prstGeom>
                    <a:noFill/>
                    <a:ln>
                      <a:noFill/>
                    </a:ln>
                  </pic:spPr>
                </pic:pic>
              </a:graphicData>
            </a:graphic>
          </wp:inline>
        </w:drawing>
      </w:r>
    </w:p>
    <w:p w:rsidR="005459EE" w:rsidRPr="00D43090" w:rsidRDefault="005459EE" w:rsidP="005459EE">
      <w:pPr>
        <w:autoSpaceDE w:val="0"/>
        <w:autoSpaceDN w:val="0"/>
        <w:ind w:left="216" w:hangingChars="100" w:hanging="216"/>
        <w:jc w:val="center"/>
        <w:rPr>
          <w:rFonts w:asciiTheme="minorEastAsia" w:eastAsiaTheme="minorEastAsia" w:hAnsiTheme="minorEastAsia"/>
        </w:rPr>
      </w:pPr>
    </w:p>
    <w:p w:rsidR="005459EE" w:rsidRDefault="005459EE" w:rsidP="005459EE">
      <w:pPr>
        <w:autoSpaceDE w:val="0"/>
        <w:autoSpaceDN w:val="0"/>
        <w:ind w:left="216" w:hangingChars="100" w:hanging="216"/>
        <w:jc w:val="center"/>
        <w:rPr>
          <w:rFonts w:asciiTheme="minorEastAsia" w:eastAsiaTheme="minorEastAsia" w:hAnsiTheme="minorEastAsia"/>
        </w:rPr>
      </w:pPr>
      <w:r w:rsidRPr="006E1304">
        <w:rPr>
          <w:noProof/>
        </w:rPr>
        <w:drawing>
          <wp:inline distT="0" distB="0" distL="0" distR="0" wp14:anchorId="0B8B8E43" wp14:editId="03DD455C">
            <wp:extent cx="5238000" cy="3280320"/>
            <wp:effectExtent l="0" t="0" r="127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000" cy="3280320"/>
                    </a:xfrm>
                    <a:prstGeom prst="rect">
                      <a:avLst/>
                    </a:prstGeom>
                    <a:noFill/>
                    <a:ln>
                      <a:noFill/>
                    </a:ln>
                  </pic:spPr>
                </pic:pic>
              </a:graphicData>
            </a:graphic>
          </wp:inline>
        </w:drawing>
      </w:r>
    </w:p>
    <w:p w:rsidR="005459EE" w:rsidRPr="00D43090" w:rsidRDefault="005459EE" w:rsidP="005459EE">
      <w:pPr>
        <w:autoSpaceDE w:val="0"/>
        <w:autoSpaceDN w:val="0"/>
        <w:ind w:left="216" w:hangingChars="100" w:hanging="216"/>
        <w:jc w:val="center"/>
        <w:rPr>
          <w:rFonts w:asciiTheme="minorEastAsia" w:eastAsiaTheme="minorEastAsia" w:hAnsiTheme="minorEastAsia"/>
        </w:rPr>
      </w:pPr>
    </w:p>
    <w:p w:rsidR="005459EE" w:rsidRDefault="005459EE" w:rsidP="005459EE">
      <w:pPr>
        <w:autoSpaceDE w:val="0"/>
        <w:autoSpaceDN w:val="0"/>
        <w:ind w:left="216" w:hangingChars="100" w:hanging="216"/>
        <w:jc w:val="center"/>
        <w:rPr>
          <w:rFonts w:asciiTheme="minorEastAsia" w:eastAsiaTheme="minorEastAsia" w:hAnsiTheme="minorEastAsia"/>
        </w:rPr>
      </w:pPr>
      <w:r w:rsidRPr="006E1304">
        <w:rPr>
          <w:noProof/>
        </w:rPr>
        <w:drawing>
          <wp:inline distT="0" distB="0" distL="0" distR="0" wp14:anchorId="5ABA838E" wp14:editId="4055D413">
            <wp:extent cx="5261400" cy="170424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1400" cy="1704240"/>
                    </a:xfrm>
                    <a:prstGeom prst="rect">
                      <a:avLst/>
                    </a:prstGeom>
                    <a:noFill/>
                    <a:ln>
                      <a:noFill/>
                    </a:ln>
                  </pic:spPr>
                </pic:pic>
              </a:graphicData>
            </a:graphic>
          </wp:inline>
        </w:drawing>
      </w:r>
    </w:p>
    <w:p w:rsidR="00B55BC3" w:rsidRDefault="00B55BC3">
      <w:pPr>
        <w:widowControl/>
        <w:jc w:val="left"/>
        <w:rPr>
          <w:rFonts w:asciiTheme="minorEastAsia" w:eastAsiaTheme="minorEastAsia" w:hAnsiTheme="minorEastAsia"/>
        </w:rPr>
      </w:pPr>
      <w:r>
        <w:rPr>
          <w:rFonts w:asciiTheme="minorEastAsia" w:eastAsiaTheme="minorEastAsia" w:hAnsiTheme="minorEastAsia"/>
        </w:rPr>
        <w:br w:type="page"/>
      </w:r>
    </w:p>
    <w:p w:rsidR="00B55BC3" w:rsidRPr="00D43090" w:rsidRDefault="00B55BC3" w:rsidP="00B55BC3">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D43090">
        <w:rPr>
          <w:rFonts w:ascii="ＭＳ ゴシック" w:eastAsia="ＭＳ ゴシック" w:hAnsi="ＭＳ ゴシック" w:hint="eastAsia"/>
          <w:sz w:val="22"/>
          <w:szCs w:val="22"/>
        </w:rPr>
        <w:t>＜自治体・経産局・地方議員への要請項目＞</w:t>
      </w:r>
    </w:p>
    <w:p w:rsidR="00B55BC3" w:rsidRPr="00D43090" w:rsidRDefault="00B55BC3" w:rsidP="00B55BC3">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D43090">
        <w:rPr>
          <mc:AlternateContent>
            <mc:Choice Requires="w16se">
              <w:rFonts w:ascii="ＭＳ ゴシック" w:eastAsia="ＭＳ ゴシック" w:hAnsi="ＭＳ ゴシック" w:hint="eastAsia"/>
            </mc:Choice>
            <mc:Fallback>
              <w:rFonts w:hAnsi="ＭＳ 明朝" w:cs="ＭＳ 明朝" w:hint="eastAsia"/>
            </mc:Fallback>
          </mc:AlternateContent>
          <w:sz w:val="22"/>
          <w:szCs w:val="22"/>
        </w:rPr>
        <mc:AlternateContent>
          <mc:Choice Requires="w16se">
            <w16se:symEx w16se:font="ＭＳ 明朝" w16se:char="2464"/>
          </mc:Choice>
          <mc:Fallback>
            <w:t>⑤</w:t>
          </mc:Fallback>
        </mc:AlternateContent>
      </w:r>
      <w:r w:rsidRPr="00D43090">
        <w:rPr>
          <w:rFonts w:ascii="ＭＳ ゴシック" w:eastAsia="ＭＳ ゴシック" w:hAnsi="ＭＳ ゴシック" w:hint="eastAsia"/>
          <w:sz w:val="22"/>
          <w:szCs w:val="22"/>
        </w:rPr>
        <w:t>事業引継ぎ支援センターの強化</w:t>
      </w:r>
    </w:p>
    <w:p w:rsidR="00B55BC3" w:rsidRPr="00D43090" w:rsidRDefault="00B55BC3" w:rsidP="00B55BC3">
      <w:pPr>
        <w:autoSpaceDE w:val="0"/>
        <w:autoSpaceDN w:val="0"/>
        <w:ind w:firstLineChars="100" w:firstLine="216"/>
        <w:rPr>
          <w:rFonts w:hAnsi="ＭＳ 明朝"/>
        </w:rPr>
      </w:pPr>
      <w:r w:rsidRPr="00D43090">
        <w:rPr>
          <w:rFonts w:hAnsi="ＭＳ 明朝" w:hint="eastAsia"/>
        </w:rPr>
        <w:t>中小企業の事業承継支援のため各都道府県に設置されている「事業引継ぎ支援センター」の周知徹底を図ること。地域の状況により都道府県庁所在地以外にも必要な場合には、相談窓口を増設すること。</w:t>
      </w:r>
    </w:p>
    <w:p w:rsidR="00B55BC3" w:rsidRPr="00D43090" w:rsidRDefault="00B55BC3" w:rsidP="00B55BC3">
      <w:pPr>
        <w:autoSpaceDE w:val="0"/>
        <w:autoSpaceDN w:val="0"/>
        <w:ind w:firstLineChars="100" w:firstLine="216"/>
        <w:rPr>
          <w:rFonts w:hAnsi="ＭＳ 明朝"/>
        </w:rPr>
      </w:pPr>
      <w:r w:rsidRPr="00D43090">
        <w:rPr>
          <w:rFonts w:hAnsi="ＭＳ 明朝" w:hint="eastAsia"/>
        </w:rPr>
        <w:t>世代交代に際し経営者の親族に後継者がいない場合などとともに、人材を採用し、人材を引き留めるために必要な賃金・労働諸条件の確保が不可能な状況にある企業に関しても、従業員への承継、親事業者との統合やバリューチェーン内における同業他社との統合を含め、事業引継ぎ支援を行っていくこと。</w:t>
      </w:r>
    </w:p>
    <w:p w:rsidR="00B55BC3" w:rsidRPr="00D43090" w:rsidRDefault="00B55BC3" w:rsidP="00B55BC3">
      <w:pPr>
        <w:autoSpaceDE w:val="0"/>
        <w:autoSpaceDN w:val="0"/>
        <w:ind w:firstLineChars="100" w:firstLine="216"/>
        <w:rPr>
          <w:rFonts w:hAnsi="ＭＳ 明朝"/>
        </w:rPr>
      </w:pPr>
      <w:r w:rsidRPr="00D43090">
        <w:rPr>
          <w:rFonts w:hAnsi="ＭＳ 明朝" w:hint="eastAsia"/>
        </w:rPr>
        <w:t>これまでに実施されたＭ＆Ａにおいて、譲受先企業が買収後、労働者の団結権・結社の自由を侵害したり、賃金・労働諸条件の引き下げを行った事例が見られる場合は、そうした情報を収集し、譲渡を希望している企業に提供すること。</w:t>
      </w:r>
    </w:p>
    <w:p w:rsidR="00B55BC3" w:rsidRPr="00D43090" w:rsidRDefault="00B55BC3" w:rsidP="00B55BC3">
      <w:pPr>
        <w:autoSpaceDE w:val="0"/>
        <w:autoSpaceDN w:val="0"/>
        <w:ind w:firstLineChars="100" w:firstLine="216"/>
        <w:rPr>
          <w:rFonts w:hAnsi="ＭＳ 明朝"/>
        </w:rPr>
      </w:pPr>
      <w:r w:rsidRPr="00D43090">
        <w:rPr>
          <w:rFonts w:asciiTheme="minorEastAsia" w:eastAsiaTheme="minorEastAsia" w:hAnsiTheme="minorEastAsia" w:hint="eastAsia"/>
          <w:szCs w:val="21"/>
        </w:rPr>
        <w:t>なお、わが国の安全保障上、重要な製品・部品・素材の開発・製造を行っている企業については、譲受先企業の資本関係などにも留意すること。（補強）</w:t>
      </w:r>
    </w:p>
    <w:p w:rsidR="00B55BC3" w:rsidRDefault="00B55BC3" w:rsidP="00B55BC3">
      <w:pPr>
        <w:autoSpaceDE w:val="0"/>
        <w:autoSpaceDN w:val="0"/>
        <w:rPr>
          <w:rFonts w:asciiTheme="majorEastAsia" w:eastAsiaTheme="majorEastAsia" w:hAnsiTheme="majorEastAsia"/>
          <w:szCs w:val="21"/>
        </w:rPr>
      </w:pPr>
    </w:p>
    <w:p w:rsidR="00B55BC3" w:rsidRPr="00D43090" w:rsidRDefault="00B55BC3" w:rsidP="00B55BC3">
      <w:pPr>
        <w:autoSpaceDE w:val="0"/>
        <w:autoSpaceDN w:val="0"/>
        <w:rPr>
          <w:rFonts w:asciiTheme="majorEastAsia" w:eastAsiaTheme="majorEastAsia" w:hAnsiTheme="majorEastAsia"/>
          <w:szCs w:val="21"/>
        </w:rPr>
      </w:pPr>
      <w:r w:rsidRPr="00D43090">
        <w:rPr>
          <mc:AlternateContent>
            <mc:Choice Requires="w16se">
              <w:rFonts w:asciiTheme="majorEastAsia" w:eastAsiaTheme="majorEastAsia" w:hAnsiTheme="majorEastAsia" w:hint="eastAsia"/>
            </mc:Choice>
            <mc:Fallback>
              <w:rFonts w:hAnsi="ＭＳ 明朝" w:cs="ＭＳ 明朝" w:hint="eastAsia"/>
            </mc:Fallback>
          </mc:AlternateContent>
          <w:szCs w:val="21"/>
        </w:rPr>
        <mc:AlternateContent>
          <mc:Choice Requires="w16se">
            <w16se:symEx w16se:font="ＭＳ 明朝" w16se:char="279D"/>
          </mc:Choice>
          <mc:Fallback>
            <w:t>➝</w:t>
          </mc:Fallback>
        </mc:AlternateContent>
      </w:r>
      <w:r w:rsidRPr="00D43090">
        <w:rPr>
          <w:rFonts w:asciiTheme="majorEastAsia" w:eastAsiaTheme="majorEastAsia" w:hAnsiTheme="majorEastAsia" w:hint="eastAsia"/>
          <w:szCs w:val="21"/>
        </w:rPr>
        <w:t xml:space="preserve">　背景説明</w:t>
      </w:r>
    </w:p>
    <w:p w:rsidR="00B55BC3" w:rsidRPr="00D43090" w:rsidRDefault="00B55BC3" w:rsidP="00B55BC3">
      <w:pPr>
        <w:autoSpaceDE w:val="0"/>
        <w:autoSpaceDN w:val="0"/>
        <w:ind w:firstLineChars="100" w:firstLine="216"/>
        <w:rPr>
          <w:rFonts w:hAnsi="ＭＳ 明朝"/>
        </w:rPr>
      </w:pPr>
      <w:r w:rsidRPr="00D43090">
        <w:rPr>
          <w:rFonts w:hAnsi="ＭＳ 明朝" w:hint="eastAsia"/>
        </w:rPr>
        <w:t>事業引継ぎ支援センターは、全国47都道府県に設置されており、相談から成約に至るまで、中小企業・小規模事業者の事業引き継ぎをバックアップしています。事業引き継ぎにまつわるあらゆる相談に対し、中小企業診断士や金融機関ＯＢなどが事業引き継ぎや経営に対する経験をもとに無料で対応しており、民間機関を活用してＭ＆Ａを実行する際のセカンドオピニオンとしても活用できます。案件に合わせて、</w:t>
      </w:r>
    </w:p>
    <w:p w:rsidR="00B55BC3" w:rsidRPr="00D43090" w:rsidRDefault="00B55BC3" w:rsidP="00B55BC3">
      <w:pPr>
        <w:autoSpaceDE w:val="0"/>
        <w:autoSpaceDN w:val="0"/>
        <w:ind w:leftChars="100" w:left="432" w:hangingChars="100" w:hanging="216"/>
        <w:rPr>
          <w:rFonts w:hAnsi="ＭＳ 明朝"/>
        </w:rPr>
      </w:pPr>
      <w:r w:rsidRPr="00D43090">
        <w:rPr>
          <w:rFonts w:hAnsi="ＭＳ 明朝" w:hint="eastAsia"/>
        </w:rPr>
        <w:t>・事業引継ぎ支援センターに登録された民間Ｍ＆Ａ仲介業者、金融機関等を紹介。紹介を受けた登録支援機関が、譲渡企業にマッチした譲受企業を紹介し、マッチング及び譲渡契約成約までを実施。</w:t>
      </w:r>
    </w:p>
    <w:p w:rsidR="00B55BC3" w:rsidRPr="00D43090" w:rsidRDefault="00B55BC3" w:rsidP="00B55BC3">
      <w:pPr>
        <w:autoSpaceDE w:val="0"/>
        <w:autoSpaceDN w:val="0"/>
        <w:ind w:leftChars="100" w:left="432" w:hangingChars="100" w:hanging="216"/>
        <w:rPr>
          <w:rFonts w:hAnsi="ＭＳ 明朝"/>
        </w:rPr>
      </w:pPr>
      <w:r w:rsidRPr="00D43090">
        <w:rPr>
          <w:rFonts w:hAnsi="ＭＳ 明朝" w:hint="eastAsia"/>
        </w:rPr>
        <w:t>・事業引継ぎ支援センターが、中小企業の依頼に応えて、譲渡の進め方のアドバイスや譲渡先の紹介、譲渡条件などのすり合わせの他、各種書類作成などに必要な専門家を紹介。</w:t>
      </w:r>
    </w:p>
    <w:p w:rsidR="00B55BC3" w:rsidRPr="00D43090" w:rsidRDefault="00B55BC3" w:rsidP="00B55BC3">
      <w:pPr>
        <w:autoSpaceDE w:val="0"/>
        <w:autoSpaceDN w:val="0"/>
        <w:ind w:leftChars="100" w:left="432" w:hangingChars="100" w:hanging="216"/>
        <w:rPr>
          <w:rFonts w:hAnsi="ＭＳ 明朝"/>
        </w:rPr>
      </w:pPr>
      <w:r w:rsidRPr="00D43090">
        <w:rPr>
          <w:rFonts w:hAnsi="ＭＳ 明朝" w:hint="eastAsia"/>
        </w:rPr>
        <w:t>・事業引継ぎ支援センターと商工会議所などの支援機関が連携し、後継者不在の企業と起業を希望する人材とのマッチングを行い、成約にいたるまで支援。</w:t>
      </w:r>
    </w:p>
    <w:p w:rsidR="00B55BC3" w:rsidRPr="00D43090" w:rsidRDefault="00B55BC3" w:rsidP="00B55BC3">
      <w:pPr>
        <w:autoSpaceDE w:val="0"/>
        <w:autoSpaceDN w:val="0"/>
        <w:rPr>
          <w:rFonts w:hAnsi="ＭＳ 明朝"/>
        </w:rPr>
      </w:pPr>
      <w:r w:rsidRPr="00D43090">
        <w:rPr>
          <w:rFonts w:hAnsi="ＭＳ 明朝" w:hint="eastAsia"/>
        </w:rPr>
        <w:t>といったサポートを行っています。民間のＭ＆Ａ支援会社では取り組みにくいケースでも、弁護士、税理士などの専門家と連携して、成約に向けた継続支援を行います。このため、サポートをした企業（譲渡側）の99％が従業員100名以下、69％が10名以下であり、承継の形態は67％が第三者承継、25％が従業員承継となっています。</w:t>
      </w:r>
    </w:p>
    <w:p w:rsidR="00B55BC3" w:rsidRPr="00D43090" w:rsidRDefault="00B55BC3" w:rsidP="00B55BC3">
      <w:pPr>
        <w:autoSpaceDE w:val="0"/>
        <w:autoSpaceDN w:val="0"/>
        <w:ind w:firstLine="210"/>
        <w:rPr>
          <w:rFonts w:hAnsi="ＭＳ 明朝"/>
        </w:rPr>
      </w:pPr>
      <w:r w:rsidRPr="00D43090">
        <w:rPr>
          <w:rFonts w:hAnsi="ＭＳ 明朝" w:hint="eastAsia"/>
        </w:rPr>
        <w:t>事業引継ぎ支援センターは本来、中小企業の経営者の世代交代に対応し、とりわけ経営者の親族に後継者がいない場合に、親族以外への承継をバックアップする仕組みですが、高度成長期以来の人手不足の中で、人材を採用し、人材を引き留めるために必要な賃金・労働諸条件の確保が不可能な状況にある企業に関しても、事業引継ぎを希望する経営者に対し、サポートを行っていく必要があります。</w:t>
      </w:r>
    </w:p>
    <w:p w:rsidR="00B55BC3" w:rsidRPr="00D43090" w:rsidRDefault="00B55BC3" w:rsidP="00B55BC3">
      <w:pPr>
        <w:autoSpaceDE w:val="0"/>
        <w:autoSpaceDN w:val="0"/>
        <w:ind w:firstLineChars="100" w:firstLine="216"/>
        <w:rPr>
          <w:rFonts w:hAnsi="ＭＳ 明朝"/>
        </w:rPr>
      </w:pPr>
      <w:r w:rsidRPr="00D43090">
        <w:rPr>
          <w:rFonts w:hAnsi="ＭＳ 明朝" w:hint="eastAsia"/>
        </w:rPr>
        <w:t>日本や米国などの保有する高度な製品や技術が、独裁国家やテロリストによる大量破壊兵器や通常兵器の開発・製造・使用・貯蔵に用いられれば、安全保障上の脅威となります。これを未然に防ぐため、貿易については、わが国では、国際輸出管理レジームを踏まえ、リスト規制とキャッチオール規制という二つの規制を行っていますが、事業引継ぎにおいても、貿易分野における規制を踏まえ、わが国の安全保障上、重要な製品・部品・素材の開発・製造を行っている企業については、譲受先企業の資本関係などにも留意していくことが必要です。</w:t>
      </w:r>
    </w:p>
    <w:p w:rsidR="00B55BC3" w:rsidRPr="00D43090" w:rsidRDefault="00B55BC3" w:rsidP="00B55BC3">
      <w:pPr>
        <w:autoSpaceDE w:val="0"/>
        <w:autoSpaceDN w:val="0"/>
        <w:ind w:firstLineChars="100" w:firstLine="216"/>
        <w:rPr>
          <w:rFonts w:hAnsi="ＭＳ 明朝"/>
        </w:rPr>
      </w:pPr>
    </w:p>
    <w:p w:rsidR="00B55BC3" w:rsidRPr="00D43090" w:rsidRDefault="00B55BC3" w:rsidP="00B55BC3">
      <w:pPr>
        <w:autoSpaceDE w:val="0"/>
        <w:autoSpaceDN w:val="0"/>
        <w:jc w:val="center"/>
        <w:rPr>
          <w:rFonts w:hAnsi="ＭＳ 明朝"/>
        </w:rPr>
      </w:pPr>
      <w:r w:rsidRPr="002D7ECE">
        <w:rPr>
          <w:noProof/>
        </w:rPr>
        <w:drawing>
          <wp:inline distT="0" distB="0" distL="0" distR="0" wp14:anchorId="5F7D36AA" wp14:editId="61A70BBF">
            <wp:extent cx="4854960" cy="2792880"/>
            <wp:effectExtent l="0" t="0" r="3175" b="76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4960" cy="2792880"/>
                    </a:xfrm>
                    <a:prstGeom prst="rect">
                      <a:avLst/>
                    </a:prstGeom>
                    <a:noFill/>
                    <a:ln>
                      <a:noFill/>
                    </a:ln>
                  </pic:spPr>
                </pic:pic>
              </a:graphicData>
            </a:graphic>
          </wp:inline>
        </w:drawing>
      </w:r>
    </w:p>
    <w:p w:rsidR="007A6050" w:rsidRDefault="007A6050">
      <w:pPr>
        <w:widowControl/>
        <w:jc w:val="left"/>
        <w:rPr>
          <w:rFonts w:hAnsi="ＭＳ 明朝"/>
        </w:rPr>
      </w:pPr>
      <w:r>
        <w:rPr>
          <w:rFonts w:hAnsi="ＭＳ 明朝"/>
        </w:rPr>
        <w:br w:type="page"/>
      </w:r>
    </w:p>
    <w:p w:rsidR="00B55BC3" w:rsidRPr="00D43090" w:rsidRDefault="00B55BC3" w:rsidP="00B55BC3">
      <w:pPr>
        <w:pBdr>
          <w:top w:val="single" w:sz="4" w:space="1" w:color="auto"/>
          <w:left w:val="single" w:sz="4" w:space="4" w:color="auto"/>
          <w:bottom w:val="single" w:sz="4" w:space="1" w:color="auto"/>
          <w:right w:val="single" w:sz="4" w:space="4" w:color="auto"/>
        </w:pBdr>
        <w:autoSpaceDE w:val="0"/>
        <w:autoSpaceDN w:val="0"/>
        <w:rPr>
          <w:rFonts w:ascii="ＭＳ ゴシック" w:eastAsia="ＭＳ ゴシック" w:hAnsi="ＭＳ ゴシック"/>
          <w:sz w:val="22"/>
          <w:szCs w:val="22"/>
        </w:rPr>
      </w:pPr>
      <w:r w:rsidRPr="00D43090">
        <w:rPr>
          <w:rFonts w:ascii="ＭＳ ゴシック" w:eastAsia="ＭＳ ゴシック" w:hAnsi="ＭＳ ゴシック" w:hint="eastAsia"/>
          <w:sz w:val="22"/>
          <w:szCs w:val="22"/>
        </w:rPr>
        <w:t>＜自治体・地方議員への要請項目＞</w:t>
      </w:r>
    </w:p>
    <w:p w:rsidR="00B55BC3" w:rsidRPr="00D43090" w:rsidRDefault="00B55BC3" w:rsidP="00B55BC3">
      <w:pPr>
        <w:pBdr>
          <w:top w:val="single" w:sz="4" w:space="1" w:color="auto"/>
          <w:left w:val="single" w:sz="4" w:space="4" w:color="auto"/>
          <w:bottom w:val="single" w:sz="4" w:space="1" w:color="auto"/>
          <w:right w:val="single" w:sz="4" w:space="4" w:color="auto"/>
        </w:pBdr>
        <w:autoSpaceDE w:val="0"/>
        <w:autoSpaceDN w:val="0"/>
        <w:rPr>
          <w:rFonts w:ascii="ＭＳ ゴシック" w:eastAsia="ＭＳ ゴシック" w:hAnsi="ＭＳ ゴシック"/>
          <w:sz w:val="22"/>
          <w:szCs w:val="22"/>
        </w:rPr>
      </w:pPr>
      <w:r w:rsidRPr="00D43090">
        <w:rPr>
          <mc:AlternateContent>
            <mc:Choice Requires="w16se">
              <w:rFonts w:ascii="ＭＳ ゴシック" w:eastAsia="ＭＳ ゴシック" w:hAnsi="ＭＳ ゴシック" w:hint="eastAsia"/>
            </mc:Choice>
            <mc:Fallback>
              <w:rFonts w:hAnsi="ＭＳ 明朝" w:cs="ＭＳ 明朝" w:hint="eastAsia"/>
            </mc:Fallback>
          </mc:AlternateContent>
          <w:sz w:val="22"/>
          <w:szCs w:val="22"/>
        </w:rPr>
        <mc:AlternateContent>
          <mc:Choice Requires="w16se">
            <w16se:symEx w16se:font="ＭＳ 明朝" w16se:char="2465"/>
          </mc:Choice>
          <mc:Fallback>
            <w:t>⑥</w:t>
          </mc:Fallback>
        </mc:AlternateContent>
      </w:r>
      <w:r w:rsidRPr="00D43090">
        <w:rPr>
          <w:rFonts w:ascii="ＭＳ ゴシック" w:eastAsia="ＭＳ ゴシック" w:hAnsi="ＭＳ ゴシック" w:hint="eastAsia"/>
          <w:sz w:val="22"/>
          <w:szCs w:val="22"/>
        </w:rPr>
        <w:t>中小企業で働く若者の技能五輪への挑戦支援</w:t>
      </w:r>
    </w:p>
    <w:p w:rsidR="00B55BC3" w:rsidRPr="00D43090" w:rsidRDefault="00B55BC3" w:rsidP="00B55BC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工業高校や工業高等専門学校に設置されている専攻科なども活用し、中小企業で働く若者が積極的に技能五輪全国大会、技能五輪国際大会に挑戦できるよう、支援体制を拡充すること。</w:t>
      </w:r>
    </w:p>
    <w:p w:rsidR="00B55BC3" w:rsidRPr="00D43090" w:rsidRDefault="00B55BC3" w:rsidP="00B55BC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技能五輪地方予選大会・全国大会・国際大会に選手を出場させる中小企業に対して、直接的な助成を行っていくこと。（補強）</w:t>
      </w:r>
    </w:p>
    <w:p w:rsidR="00B55BC3" w:rsidRDefault="00B55BC3" w:rsidP="00B55BC3">
      <w:pPr>
        <w:autoSpaceDE w:val="0"/>
        <w:autoSpaceDN w:val="0"/>
        <w:rPr>
          <w:rFonts w:asciiTheme="majorEastAsia" w:eastAsiaTheme="majorEastAsia" w:hAnsiTheme="majorEastAsia"/>
          <w:szCs w:val="21"/>
        </w:rPr>
      </w:pPr>
    </w:p>
    <w:p w:rsidR="00B55BC3" w:rsidRPr="00D43090" w:rsidRDefault="00B55BC3" w:rsidP="00B55BC3">
      <w:pPr>
        <w:autoSpaceDE w:val="0"/>
        <w:autoSpaceDN w:val="0"/>
        <w:rPr>
          <w:rFonts w:asciiTheme="majorEastAsia" w:eastAsiaTheme="majorEastAsia" w:hAnsiTheme="majorEastAsia"/>
          <w:szCs w:val="21"/>
        </w:rPr>
      </w:pPr>
      <w:r w:rsidRPr="00D43090">
        <w:rPr>
          <mc:AlternateContent>
            <mc:Choice Requires="w16se">
              <w:rFonts w:asciiTheme="majorEastAsia" w:eastAsiaTheme="majorEastAsia" w:hAnsiTheme="majorEastAsia" w:hint="eastAsia"/>
            </mc:Choice>
            <mc:Fallback>
              <w:rFonts w:hAnsi="ＭＳ 明朝" w:cs="ＭＳ 明朝" w:hint="eastAsia"/>
            </mc:Fallback>
          </mc:AlternateContent>
          <w:szCs w:val="21"/>
        </w:rPr>
        <mc:AlternateContent>
          <mc:Choice Requires="w16se">
            <w16se:symEx w16se:font="ＭＳ 明朝" w16se:char="279D"/>
          </mc:Choice>
          <mc:Fallback>
            <w:t>➝</w:t>
          </mc:Fallback>
        </mc:AlternateContent>
      </w:r>
      <w:r w:rsidRPr="00D43090">
        <w:rPr>
          <w:rFonts w:asciiTheme="majorEastAsia" w:eastAsiaTheme="majorEastAsia" w:hAnsiTheme="majorEastAsia" w:hint="eastAsia"/>
          <w:szCs w:val="21"/>
        </w:rPr>
        <w:t xml:space="preserve">　背景説明</w:t>
      </w:r>
    </w:p>
    <w:p w:rsidR="00B55BC3" w:rsidRPr="00D43090" w:rsidRDefault="00B55BC3" w:rsidP="00B55BC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技能五輪の国内大会である技能五輪全国大会の参加者数を都道府県ごとに見ると、200人超の愛知県から、参加者２名の和歌山県、鳥取県、高知県まで、地域差が著しい状況にあります。都道府県には当然それぞれの特色がありますが、そうした地域差を超えた取り組みの格差があるように思われます。ものづくり産業を中心とする「強固な地方」「強固な現場」を構築するため、とりわけ中小企業に働く若者が技能五輪全国大会、技能五輪国際大会に積極的に挑戦できるよう、技能五輪参加者に対してはもちろん、育成の段階から、支援を拡充していく必要があります。</w:t>
      </w:r>
    </w:p>
    <w:p w:rsidR="00B55BC3" w:rsidRPr="00D43090" w:rsidRDefault="00B55BC3" w:rsidP="00B55BC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愛知県では、2019年度および2020年度における技能五輪全国大会の地元開催を踏まえ、「技能五輪全国大会・全国アビリンピック選手育成支援事業助成金」を設けていますが、こうした支援が開催地に関わらず全国で、恒久的に実施されることが重要です。</w:t>
      </w:r>
    </w:p>
    <w:p w:rsidR="00B55BC3" w:rsidRPr="00D43090" w:rsidRDefault="00B55BC3" w:rsidP="00B55BC3">
      <w:pPr>
        <w:autoSpaceDE w:val="0"/>
        <w:autoSpaceDN w:val="0"/>
        <w:jc w:val="center"/>
        <w:rPr>
          <w:rFonts w:asciiTheme="minorEastAsia" w:eastAsiaTheme="minorEastAsia" w:hAnsiTheme="minorEastAsia"/>
          <w:szCs w:val="21"/>
        </w:rPr>
      </w:pPr>
    </w:p>
    <w:p w:rsidR="00B55BC3" w:rsidRDefault="00B55BC3" w:rsidP="00B55BC3">
      <w:pPr>
        <w:autoSpaceDE w:val="0"/>
        <w:autoSpaceDN w:val="0"/>
        <w:jc w:val="center"/>
        <w:rPr>
          <w:rFonts w:asciiTheme="minorEastAsia" w:eastAsiaTheme="minorEastAsia" w:hAnsiTheme="minorEastAsia"/>
          <w:szCs w:val="21"/>
        </w:rPr>
      </w:pPr>
      <w:r w:rsidRPr="004D73A6">
        <w:rPr>
          <w:noProof/>
        </w:rPr>
        <w:drawing>
          <wp:inline distT="0" distB="0" distL="0" distR="0" wp14:anchorId="607A7F1E" wp14:editId="566B8ED8">
            <wp:extent cx="3906720" cy="2105640"/>
            <wp:effectExtent l="0" t="0" r="0" b="952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6720" cy="2105640"/>
                    </a:xfrm>
                    <a:prstGeom prst="rect">
                      <a:avLst/>
                    </a:prstGeom>
                    <a:noFill/>
                    <a:ln>
                      <a:noFill/>
                    </a:ln>
                  </pic:spPr>
                </pic:pic>
              </a:graphicData>
            </a:graphic>
          </wp:inline>
        </w:drawing>
      </w:r>
    </w:p>
    <w:p w:rsidR="00B55BC3" w:rsidRPr="00D43090" w:rsidRDefault="00B55BC3" w:rsidP="00B55BC3">
      <w:pPr>
        <w:autoSpaceDE w:val="0"/>
        <w:autoSpaceDN w:val="0"/>
        <w:jc w:val="center"/>
        <w:rPr>
          <w:rFonts w:asciiTheme="minorEastAsia" w:eastAsiaTheme="minorEastAsia" w:hAnsiTheme="minorEastAsia"/>
          <w:szCs w:val="21"/>
        </w:rPr>
      </w:pPr>
    </w:p>
    <w:p w:rsidR="00B55BC3" w:rsidRPr="00D43090" w:rsidRDefault="00B55BC3" w:rsidP="00B55BC3">
      <w:pPr>
        <w:pBdr>
          <w:top w:val="single" w:sz="4" w:space="1" w:color="auto"/>
          <w:left w:val="single" w:sz="4" w:space="4" w:color="auto"/>
          <w:bottom w:val="single" w:sz="4" w:space="1" w:color="auto"/>
          <w:right w:val="single" w:sz="4" w:space="4" w:color="auto"/>
        </w:pBdr>
        <w:autoSpaceDE w:val="0"/>
        <w:autoSpaceDN w:val="0"/>
        <w:jc w:val="center"/>
        <w:rPr>
          <w:rFonts w:ascii="ＭＳ Ｐゴシック" w:eastAsia="ＭＳ Ｐゴシック" w:hAnsi="ＭＳ Ｐゴシック"/>
          <w:sz w:val="20"/>
          <w:szCs w:val="20"/>
        </w:rPr>
      </w:pPr>
      <w:r w:rsidRPr="00D43090">
        <w:rPr>
          <w:rFonts w:ascii="ＭＳ Ｐゴシック" w:eastAsia="ＭＳ Ｐゴシック" w:hAnsi="ＭＳ Ｐゴシック" w:hint="eastAsia"/>
          <w:sz w:val="20"/>
          <w:szCs w:val="20"/>
        </w:rPr>
        <w:t>資料</w:t>
      </w:r>
      <w:r>
        <w:rPr>
          <w:rFonts w:ascii="ＭＳ Ｐゴシック" w:eastAsia="ＭＳ Ｐゴシック" w:hAnsi="ＭＳ Ｐゴシック" w:hint="eastAsia"/>
          <w:sz w:val="20"/>
          <w:szCs w:val="20"/>
        </w:rPr>
        <w:t>24</w:t>
      </w:r>
      <w:r w:rsidRPr="00D43090">
        <w:rPr>
          <w:rFonts w:ascii="ＭＳ Ｐゴシック" w:eastAsia="ＭＳ Ｐゴシック" w:hAnsi="ＭＳ Ｐゴシック" w:hint="eastAsia"/>
          <w:sz w:val="20"/>
          <w:szCs w:val="20"/>
        </w:rPr>
        <w:t xml:space="preserve">　愛知県「平成31年度技能五輪全国大会・全国アビリンピック選手育成支援事業助成金」</w:t>
      </w:r>
    </w:p>
    <w:p w:rsidR="00B55BC3" w:rsidRPr="00D43090" w:rsidRDefault="00B55BC3" w:rsidP="00B55BC3">
      <w:pPr>
        <w:pBdr>
          <w:top w:val="single" w:sz="4" w:space="1" w:color="auto"/>
          <w:left w:val="single" w:sz="4" w:space="4" w:color="auto"/>
          <w:bottom w:val="single" w:sz="4" w:space="1" w:color="auto"/>
          <w:right w:val="single" w:sz="4" w:space="4" w:color="auto"/>
        </w:pBdr>
        <w:autoSpaceDE w:val="0"/>
        <w:autoSpaceDN w:val="0"/>
        <w:jc w:val="center"/>
        <w:rPr>
          <w:rFonts w:ascii="ＭＳ Ｐゴシック" w:eastAsia="ＭＳ Ｐゴシック" w:hAnsi="ＭＳ Ｐゴシック"/>
          <w:sz w:val="20"/>
          <w:szCs w:val="20"/>
        </w:rPr>
      </w:pPr>
      <w:r w:rsidRPr="00D43090">
        <w:rPr>
          <w:rFonts w:ascii="ＭＳ Ｐゴシック" w:eastAsia="ＭＳ Ｐゴシック" w:hAnsi="ＭＳ Ｐゴシック" w:hint="eastAsia"/>
          <w:sz w:val="20"/>
          <w:szCs w:val="20"/>
        </w:rPr>
        <w:t>交付要綱（抜粋）</w:t>
      </w:r>
    </w:p>
    <w:p w:rsidR="00B55BC3" w:rsidRPr="00D43090" w:rsidRDefault="00B55BC3" w:rsidP="00B55BC3">
      <w:pPr>
        <w:pBdr>
          <w:top w:val="single" w:sz="4" w:space="1" w:color="auto"/>
          <w:left w:val="single" w:sz="4" w:space="4" w:color="auto"/>
          <w:bottom w:val="single" w:sz="4" w:space="1" w:color="auto"/>
          <w:right w:val="single" w:sz="4" w:space="4" w:color="auto"/>
        </w:pBdr>
        <w:autoSpaceDE w:val="0"/>
        <w:autoSpaceDN w:val="0"/>
        <w:spacing w:line="280" w:lineRule="exact"/>
        <w:rPr>
          <w:rFonts w:asciiTheme="majorEastAsia" w:eastAsiaTheme="majorEastAsia" w:hAnsiTheme="majorEastAsia"/>
          <w:sz w:val="18"/>
          <w:szCs w:val="18"/>
        </w:rPr>
      </w:pPr>
      <w:r w:rsidRPr="00D43090">
        <w:rPr>
          <w:rFonts w:asciiTheme="majorEastAsia" w:eastAsiaTheme="majorEastAsia" w:hAnsiTheme="majorEastAsia" w:hint="eastAsia"/>
          <w:sz w:val="18"/>
          <w:szCs w:val="18"/>
        </w:rPr>
        <w:t>（助成対象）</w:t>
      </w:r>
    </w:p>
    <w:p w:rsidR="00B55BC3" w:rsidRPr="00D43090" w:rsidRDefault="00B55BC3" w:rsidP="00B55BC3">
      <w:pPr>
        <w:pBdr>
          <w:top w:val="single" w:sz="4" w:space="1" w:color="auto"/>
          <w:left w:val="single" w:sz="4" w:space="4" w:color="auto"/>
          <w:bottom w:val="single" w:sz="4" w:space="1" w:color="auto"/>
          <w:right w:val="single" w:sz="4" w:space="4" w:color="auto"/>
        </w:pBdr>
        <w:autoSpaceDE w:val="0"/>
        <w:autoSpaceDN w:val="0"/>
        <w:spacing w:line="280" w:lineRule="exact"/>
        <w:ind w:firstLineChars="100" w:firstLine="186"/>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助成対象は、愛知県内に事業所等を有する中小企業者、学校等、競技職種等関係団体又は社会福祉法人等（以下「助成事業者」という。）がその雇用する労働者又は生徒等を、平成31（2019</w:t>
      </w:r>
      <w:r>
        <w:rPr>
          <w:rFonts w:asciiTheme="minorEastAsia" w:eastAsiaTheme="minorEastAsia" w:hAnsiTheme="minorEastAsia" w:hint="eastAsia"/>
          <w:sz w:val="18"/>
          <w:szCs w:val="18"/>
        </w:rPr>
        <w:t>）</w:t>
      </w:r>
      <w:r w:rsidRPr="00D43090">
        <w:rPr>
          <w:rFonts w:asciiTheme="minorEastAsia" w:eastAsiaTheme="minorEastAsia" w:hAnsiTheme="minorEastAsia" w:hint="eastAsia"/>
          <w:sz w:val="18"/>
          <w:szCs w:val="18"/>
        </w:rPr>
        <w:t>年度から平成32（2020）年度に開催される技能五輪全国大会及び全国アビリンピックに、愛知県の選手として出場させるために実施する技能向上訓練とする。</w:t>
      </w:r>
    </w:p>
    <w:p w:rsidR="00B55BC3" w:rsidRPr="00D43090" w:rsidRDefault="00B55BC3" w:rsidP="00B55BC3">
      <w:pPr>
        <w:pBdr>
          <w:top w:val="single" w:sz="4" w:space="1" w:color="auto"/>
          <w:left w:val="single" w:sz="4" w:space="4" w:color="auto"/>
          <w:bottom w:val="single" w:sz="4" w:space="1" w:color="auto"/>
          <w:right w:val="single" w:sz="4" w:space="4" w:color="auto"/>
        </w:pBdr>
        <w:autoSpaceDE w:val="0"/>
        <w:autoSpaceDN w:val="0"/>
        <w:spacing w:line="280" w:lineRule="exact"/>
        <w:rPr>
          <w:rFonts w:asciiTheme="majorEastAsia" w:eastAsiaTheme="majorEastAsia" w:hAnsiTheme="majorEastAsia"/>
          <w:sz w:val="18"/>
          <w:szCs w:val="18"/>
        </w:rPr>
      </w:pPr>
      <w:r w:rsidRPr="00D43090">
        <w:rPr>
          <w:rFonts w:asciiTheme="majorEastAsia" w:eastAsiaTheme="majorEastAsia" w:hAnsiTheme="majorEastAsia" w:hint="eastAsia"/>
          <w:sz w:val="18"/>
          <w:szCs w:val="18"/>
        </w:rPr>
        <w:t>（助成対象経費及び助成金額）</w:t>
      </w:r>
    </w:p>
    <w:p w:rsidR="00B55BC3" w:rsidRPr="00D43090" w:rsidRDefault="00B55BC3" w:rsidP="00B55BC3">
      <w:pPr>
        <w:pBdr>
          <w:top w:val="single" w:sz="4" w:space="1" w:color="auto"/>
          <w:left w:val="single" w:sz="4" w:space="4" w:color="auto"/>
          <w:bottom w:val="single" w:sz="4" w:space="1" w:color="auto"/>
          <w:right w:val="single" w:sz="4" w:space="4" w:color="auto"/>
        </w:pBdr>
        <w:autoSpaceDE w:val="0"/>
        <w:autoSpaceDN w:val="0"/>
        <w:spacing w:line="280" w:lineRule="exact"/>
        <w:ind w:firstLineChars="100" w:firstLine="186"/>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助成対象経費は、次の各号に掲げる者を対象とした技能向上訓練であって、かつ、別表１に定める経費に限るものとする。なお、推進協議会長以外の者から別に助成を受けている場合は、一競技ごとに対象経費からその額を減額した額とする。</w:t>
      </w:r>
    </w:p>
    <w:p w:rsidR="00B55BC3" w:rsidRPr="00D43090" w:rsidRDefault="00B55BC3" w:rsidP="00B55BC3">
      <w:pPr>
        <w:pBdr>
          <w:top w:val="single" w:sz="4" w:space="1" w:color="auto"/>
          <w:left w:val="single" w:sz="4" w:space="4" w:color="auto"/>
          <w:bottom w:val="single" w:sz="4" w:space="1" w:color="auto"/>
          <w:right w:val="single" w:sz="4" w:space="4" w:color="auto"/>
        </w:pBdr>
        <w:autoSpaceDE w:val="0"/>
        <w:autoSpaceDN w:val="0"/>
        <w:spacing w:line="280" w:lineRule="exact"/>
        <w:ind w:firstLineChars="100" w:firstLine="186"/>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一　技能五輪全国大会への出場を目指す場合は、大会開催年に23歳以下の者であること。</w:t>
      </w:r>
    </w:p>
    <w:p w:rsidR="00B55BC3" w:rsidRPr="00D43090" w:rsidRDefault="00B55BC3" w:rsidP="00B55BC3">
      <w:pPr>
        <w:pBdr>
          <w:top w:val="single" w:sz="4" w:space="1" w:color="auto"/>
          <w:left w:val="single" w:sz="4" w:space="4" w:color="auto"/>
          <w:bottom w:val="single" w:sz="4" w:space="1" w:color="auto"/>
          <w:right w:val="single" w:sz="4" w:space="4" w:color="auto"/>
        </w:pBdr>
        <w:autoSpaceDE w:val="0"/>
        <w:autoSpaceDN w:val="0"/>
        <w:spacing w:line="280" w:lineRule="exact"/>
        <w:ind w:left="372" w:hangingChars="200" w:hanging="372"/>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 xml:space="preserve">　　ただし、「メカトロニクス」職種、「和裁」職種、「情報ネットワーク施工」職種については、目標とする大会開催年に24歳以下の者であること。</w:t>
      </w:r>
    </w:p>
    <w:p w:rsidR="00B55BC3" w:rsidRPr="00D43090" w:rsidRDefault="00B55BC3" w:rsidP="00B55BC3">
      <w:pPr>
        <w:pBdr>
          <w:top w:val="single" w:sz="4" w:space="1" w:color="auto"/>
          <w:left w:val="single" w:sz="4" w:space="4" w:color="auto"/>
          <w:bottom w:val="single" w:sz="4" w:space="1" w:color="auto"/>
          <w:right w:val="single" w:sz="4" w:space="4" w:color="auto"/>
        </w:pBdr>
        <w:autoSpaceDE w:val="0"/>
        <w:autoSpaceDN w:val="0"/>
        <w:spacing w:line="280" w:lineRule="exact"/>
        <w:ind w:left="372" w:hangingChars="200" w:hanging="372"/>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 xml:space="preserve">　二　全国アビリンピックへの出場を目指す場合は、目標とする大会開催年の４月１日現在で15歳以上の者であること。</w:t>
      </w:r>
    </w:p>
    <w:p w:rsidR="00B55BC3" w:rsidRPr="00D43090" w:rsidRDefault="00B55BC3" w:rsidP="00B55BC3">
      <w:pPr>
        <w:pBdr>
          <w:top w:val="single" w:sz="4" w:space="1" w:color="auto"/>
          <w:left w:val="single" w:sz="4" w:space="4" w:color="auto"/>
          <w:bottom w:val="single" w:sz="4" w:space="1" w:color="auto"/>
          <w:right w:val="single" w:sz="4" w:space="4" w:color="auto"/>
        </w:pBdr>
        <w:autoSpaceDE w:val="0"/>
        <w:autoSpaceDN w:val="0"/>
        <w:spacing w:line="280" w:lineRule="exact"/>
        <w:ind w:left="186" w:hangingChars="100" w:hanging="186"/>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２　助成金額は、全国大会出場目標年度ごと、かつ一競技ごとに、前項に規定する対象経費から千円未満を切り捨てた額、又は130,000円のいずれか低い額とし、一の申請者において複数の競技職種等の訓練を行う場合には、全国大会出場目標年度ごと、かつ一競技ごとに算出した額の合計額とする。</w:t>
      </w:r>
    </w:p>
    <w:p w:rsidR="00B55BC3" w:rsidRPr="00D43090" w:rsidRDefault="00B55BC3" w:rsidP="00B55BC3">
      <w:pPr>
        <w:autoSpaceDE w:val="0"/>
        <w:autoSpaceDN w:val="0"/>
        <w:spacing w:line="280" w:lineRule="exact"/>
        <w:rPr>
          <w:rFonts w:ascii="ＭＳ ゴシック" w:eastAsia="ＭＳ ゴシック" w:hAnsi="ＭＳ ゴシック"/>
          <w:sz w:val="18"/>
          <w:szCs w:val="18"/>
        </w:rPr>
      </w:pPr>
      <w:r w:rsidRPr="00D43090">
        <w:rPr>
          <w:rFonts w:ascii="ＭＳ ゴシック" w:eastAsia="ＭＳ ゴシック" w:hAnsi="ＭＳ ゴシック" w:hint="eastAsia"/>
          <w:sz w:val="18"/>
          <w:szCs w:val="18"/>
        </w:rPr>
        <w:t>資料出所：愛知県ホームページ</w:t>
      </w:r>
    </w:p>
    <w:p w:rsidR="007A6050" w:rsidRDefault="007A6050">
      <w:pPr>
        <w:widowControl/>
        <w:jc w:val="left"/>
        <w:rPr>
          <w:rFonts w:asciiTheme="minorEastAsia" w:eastAsiaTheme="minorEastAsia" w:hAnsiTheme="minorEastAsia"/>
          <w:sz w:val="18"/>
          <w:szCs w:val="18"/>
        </w:rPr>
      </w:pPr>
      <w:r>
        <w:rPr>
          <w:rFonts w:asciiTheme="minorEastAsia" w:eastAsiaTheme="minorEastAsia" w:hAnsiTheme="minorEastAsia"/>
          <w:sz w:val="18"/>
          <w:szCs w:val="18"/>
        </w:rPr>
        <w:br w:type="page"/>
      </w:r>
    </w:p>
    <w:p w:rsidR="00B55BC3" w:rsidRPr="00D43090" w:rsidRDefault="00B55BC3" w:rsidP="00B55BC3">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D43090">
        <w:rPr>
          <w:rFonts w:ascii="ＭＳ ゴシック" w:eastAsia="ＭＳ ゴシック" w:hAnsi="ＭＳ ゴシック" w:hint="eastAsia"/>
          <w:sz w:val="22"/>
          <w:szCs w:val="22"/>
        </w:rPr>
        <w:t>＜自治体・地方議員への要請項目＞</w:t>
      </w:r>
    </w:p>
    <w:p w:rsidR="00B55BC3" w:rsidRPr="00D43090" w:rsidRDefault="00B55BC3" w:rsidP="00B55BC3">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D43090">
        <w:rPr>
          <mc:AlternateContent>
            <mc:Choice Requires="w16se">
              <w:rFonts w:ascii="ＭＳ ゴシック" w:eastAsia="ＭＳ ゴシック" w:hAnsi="ＭＳ ゴシック" w:hint="eastAsia"/>
            </mc:Choice>
            <mc:Fallback>
              <w:rFonts w:hAnsi="ＭＳ 明朝" w:cs="ＭＳ 明朝" w:hint="eastAsia"/>
            </mc:Fallback>
          </mc:AlternateContent>
          <w:sz w:val="22"/>
          <w:szCs w:val="22"/>
        </w:rPr>
        <mc:AlternateContent>
          <mc:Choice Requires="w16se">
            <w16se:symEx w16se:font="ＭＳ 明朝" w16se:char="2466"/>
          </mc:Choice>
          <mc:Fallback>
            <w:t>⑦</w:t>
          </mc:Fallback>
        </mc:AlternateContent>
      </w:r>
      <w:r w:rsidRPr="00D43090">
        <w:rPr>
          <w:rFonts w:ascii="ＭＳ ゴシック" w:eastAsia="ＭＳ ゴシック" w:hAnsi="ＭＳ ゴシック" w:hint="eastAsia"/>
          <w:sz w:val="22"/>
          <w:szCs w:val="22"/>
        </w:rPr>
        <w:t>海外事業展開を図ろうとする地元企業支援</w:t>
      </w:r>
    </w:p>
    <w:p w:rsidR="00B55BC3" w:rsidRPr="00D43090" w:rsidRDefault="00B55BC3" w:rsidP="00B55BC3">
      <w:pPr>
        <w:autoSpaceDE w:val="0"/>
        <w:autoSpaceDN w:val="0"/>
        <w:ind w:firstLineChars="100" w:firstLine="216"/>
        <w:rPr>
          <w:rFonts w:asciiTheme="minorEastAsia" w:eastAsiaTheme="minorEastAsia" w:hAnsiTheme="minorEastAsia"/>
        </w:rPr>
      </w:pPr>
      <w:r w:rsidRPr="00D43090">
        <w:rPr>
          <w:rFonts w:asciiTheme="minorEastAsia" w:eastAsiaTheme="minorEastAsia" w:hAnsiTheme="minorEastAsia" w:hint="eastAsia"/>
        </w:rPr>
        <w:t>海外事業展開を図ろうとする地元企業に対し、海外での中核的労働基準（結社の自由・団体交渉権、強制労働の禁止、児童労働の廃止、差別の排除）遵守の重要性について、周知徹底すること。</w:t>
      </w:r>
    </w:p>
    <w:p w:rsidR="00B55BC3" w:rsidRPr="00D43090" w:rsidRDefault="00B55BC3" w:rsidP="00B55BC3">
      <w:pPr>
        <w:widowControl/>
        <w:ind w:firstLineChars="100" w:firstLine="216"/>
        <w:jc w:val="left"/>
        <w:rPr>
          <w:rFonts w:asciiTheme="minorEastAsia" w:eastAsiaTheme="minorEastAsia" w:hAnsiTheme="minorEastAsia"/>
        </w:rPr>
      </w:pPr>
      <w:r w:rsidRPr="00D43090">
        <w:rPr>
          <w:rFonts w:asciiTheme="minorEastAsia" w:eastAsiaTheme="minorEastAsia" w:hAnsiTheme="minorEastAsia" w:hint="eastAsia"/>
        </w:rPr>
        <w:t>県内企業の海外活動を支援するために地方自治体が設置している海外事務所に関し、米中新冷戦にともなうバリューチェーンの再構築に対応するため、とくに東南アジア・南アジアにおける体制強化を図ること。（補強）</w:t>
      </w:r>
    </w:p>
    <w:p w:rsidR="00B55BC3" w:rsidRPr="00D43090" w:rsidRDefault="00B55BC3" w:rsidP="00B55BC3">
      <w:pPr>
        <w:widowControl/>
        <w:ind w:firstLineChars="100" w:firstLine="216"/>
        <w:jc w:val="left"/>
        <w:rPr>
          <w:rFonts w:asciiTheme="minorEastAsia" w:eastAsiaTheme="minorEastAsia" w:hAnsiTheme="minorEastAsia"/>
        </w:rPr>
      </w:pPr>
      <w:r w:rsidRPr="00D43090">
        <w:rPr>
          <w:rFonts w:asciiTheme="minorEastAsia" w:eastAsiaTheme="minorEastAsia" w:hAnsiTheme="minorEastAsia" w:hint="eastAsia"/>
        </w:rPr>
        <w:t>地方自治体がタイ、インドネシアに海外事務所を設置している場合には、金属労協（ＪＣＭ）が現地で年１回開催している「建設的労使関係構築に向けた労使ワークショップ」への駐在員の参加を検討すること。（補強）</w:t>
      </w:r>
    </w:p>
    <w:p w:rsidR="00B55BC3" w:rsidRDefault="00B55BC3" w:rsidP="00B55BC3">
      <w:pPr>
        <w:autoSpaceDE w:val="0"/>
        <w:autoSpaceDN w:val="0"/>
        <w:rPr>
          <w:rFonts w:asciiTheme="majorEastAsia" w:eastAsiaTheme="majorEastAsia" w:hAnsiTheme="majorEastAsia"/>
          <w:szCs w:val="21"/>
        </w:rPr>
      </w:pPr>
    </w:p>
    <w:p w:rsidR="00B55BC3" w:rsidRDefault="00B55BC3" w:rsidP="00B55BC3">
      <w:pPr>
        <w:autoSpaceDE w:val="0"/>
        <w:autoSpaceDN w:val="0"/>
        <w:rPr>
          <w:rFonts w:asciiTheme="majorEastAsia" w:eastAsiaTheme="majorEastAsia" w:hAnsiTheme="majorEastAsia"/>
          <w:szCs w:val="21"/>
        </w:rPr>
      </w:pPr>
      <w:r w:rsidRPr="00D43090">
        <w:rPr>
          <mc:AlternateContent>
            <mc:Choice Requires="w16se">
              <w:rFonts w:asciiTheme="majorEastAsia" w:eastAsiaTheme="majorEastAsia" w:hAnsiTheme="majorEastAsia" w:hint="eastAsia"/>
            </mc:Choice>
            <mc:Fallback>
              <w:rFonts w:hAnsi="ＭＳ 明朝" w:cs="ＭＳ 明朝" w:hint="eastAsia"/>
            </mc:Fallback>
          </mc:AlternateContent>
          <w:szCs w:val="21"/>
        </w:rPr>
        <mc:AlternateContent>
          <mc:Choice Requires="w16se">
            <w16se:symEx w16se:font="ＭＳ 明朝" w16se:char="279D"/>
          </mc:Choice>
          <mc:Fallback>
            <w:t>➝</w:t>
          </mc:Fallback>
        </mc:AlternateContent>
      </w:r>
      <w:r w:rsidRPr="00D43090">
        <w:rPr>
          <w:rFonts w:asciiTheme="majorEastAsia" w:eastAsiaTheme="majorEastAsia" w:hAnsiTheme="majorEastAsia" w:hint="eastAsia"/>
          <w:szCs w:val="21"/>
        </w:rPr>
        <w:t xml:space="preserve">　背景説明</w:t>
      </w:r>
    </w:p>
    <w:p w:rsidR="00B55BC3" w:rsidRPr="00D43090" w:rsidRDefault="00B55BC3" w:rsidP="00B55BC3">
      <w:pPr>
        <w:autoSpaceDE w:val="0"/>
        <w:autoSpaceDN w:val="0"/>
        <w:ind w:firstLineChars="100" w:firstLine="216"/>
        <w:rPr>
          <w:rFonts w:asciiTheme="minorEastAsia" w:eastAsiaTheme="minorEastAsia" w:hAnsiTheme="minorEastAsia"/>
        </w:rPr>
      </w:pPr>
      <w:r w:rsidRPr="00D43090">
        <w:rPr>
          <w:rFonts w:asciiTheme="minorEastAsia" w:eastAsiaTheme="minorEastAsia" w:hAnsiTheme="minorEastAsia" w:hint="eastAsia"/>
        </w:rPr>
        <w:t>グローバル経済下にあって、日本企業の海外拠点における労使紛争が頻発している状況にありますが、とりわけ憂慮されるのは、すべてのＩＬＯ加盟国において遵守が求められている４つの中核的労働基準（結社の自由・団体交渉権、強制労働の禁止、児童労働の廃止、差別の排除）、なかでも結社の自由・団体交渉権への抵触に関する労使紛争です。</w:t>
      </w:r>
    </w:p>
    <w:p w:rsidR="00B55BC3" w:rsidRPr="00D43090" w:rsidRDefault="00B55BC3" w:rsidP="00B55BC3">
      <w:pPr>
        <w:autoSpaceDE w:val="0"/>
        <w:autoSpaceDN w:val="0"/>
        <w:ind w:firstLineChars="100" w:firstLine="216"/>
        <w:rPr>
          <w:rFonts w:asciiTheme="minorEastAsia" w:eastAsiaTheme="minorEastAsia" w:hAnsiTheme="minorEastAsia"/>
        </w:rPr>
      </w:pPr>
      <w:r w:rsidRPr="00D43090">
        <w:rPr>
          <w:rFonts w:asciiTheme="minorEastAsia" w:eastAsiaTheme="minorEastAsia" w:hAnsiTheme="minorEastAsia" w:hint="eastAsia"/>
        </w:rPr>
        <w:t>金属労協が加盟するＧＵＦ（国際産業別労働組合組織）インダストリオール・グローバルユニオンなどを通じて、海外の労働組合から金属労協に対し、解決への協力を求められる労使紛争としては、</w:t>
      </w:r>
    </w:p>
    <w:p w:rsidR="00B55BC3" w:rsidRPr="00D43090" w:rsidRDefault="00B55BC3" w:rsidP="00B55BC3">
      <w:pPr>
        <w:autoSpaceDE w:val="0"/>
        <w:autoSpaceDN w:val="0"/>
        <w:ind w:leftChars="100" w:left="432" w:hangingChars="100" w:hanging="216"/>
        <w:rPr>
          <w:rFonts w:asciiTheme="minorEastAsia" w:eastAsiaTheme="minorEastAsia" w:hAnsiTheme="minorEastAsia"/>
        </w:rPr>
      </w:pPr>
      <w:r w:rsidRPr="00D43090">
        <w:rPr>
          <w:rFonts w:asciiTheme="minorEastAsia" w:eastAsiaTheme="minorEastAsia" w:hAnsiTheme="minorEastAsia" w:hint="eastAsia"/>
        </w:rPr>
        <w:t>・労働組合の組織化や労働組合活動の妨害、具体的には、業務上の怠慢や能力不足を名目にした、あるいは些細な規律違反を理由とした組合リーダーの解雇や配置転換、労働組合の団体交渉要件を満たすための認証選挙への会社側の介入。</w:t>
      </w:r>
    </w:p>
    <w:p w:rsidR="00B55BC3" w:rsidRPr="00D43090" w:rsidRDefault="00B55BC3" w:rsidP="00B55BC3">
      <w:pPr>
        <w:autoSpaceDE w:val="0"/>
        <w:autoSpaceDN w:val="0"/>
        <w:ind w:firstLineChars="100" w:firstLine="216"/>
        <w:rPr>
          <w:rFonts w:asciiTheme="minorEastAsia" w:eastAsiaTheme="minorEastAsia" w:hAnsiTheme="minorEastAsia"/>
        </w:rPr>
      </w:pPr>
      <w:r w:rsidRPr="00D43090">
        <w:rPr>
          <w:rFonts w:asciiTheme="minorEastAsia" w:eastAsiaTheme="minorEastAsia" w:hAnsiTheme="minorEastAsia" w:hint="eastAsia"/>
        </w:rPr>
        <w:t>・ストを指導した組合役員や、参加した組合員の解雇。</w:t>
      </w:r>
    </w:p>
    <w:p w:rsidR="00B55BC3" w:rsidRPr="00D43090" w:rsidRDefault="00B55BC3" w:rsidP="00B55BC3">
      <w:pPr>
        <w:autoSpaceDE w:val="0"/>
        <w:autoSpaceDN w:val="0"/>
        <w:ind w:leftChars="100" w:left="432" w:hangingChars="100" w:hanging="216"/>
        <w:rPr>
          <w:rFonts w:asciiTheme="minorEastAsia" w:eastAsiaTheme="minorEastAsia" w:hAnsiTheme="minorEastAsia"/>
        </w:rPr>
      </w:pPr>
      <w:r w:rsidRPr="00D43090">
        <w:rPr>
          <w:rFonts w:asciiTheme="minorEastAsia" w:eastAsiaTheme="minorEastAsia" w:hAnsiTheme="minorEastAsia" w:hint="eastAsia"/>
        </w:rPr>
        <w:t>・会社側が団体交渉や労使協議に応じない。会社の経営状況などについて、労働組合に情報を提供しない。</w:t>
      </w:r>
    </w:p>
    <w:p w:rsidR="00B55BC3" w:rsidRPr="00D43090" w:rsidRDefault="00B55BC3" w:rsidP="00B55BC3">
      <w:pPr>
        <w:autoSpaceDE w:val="0"/>
        <w:autoSpaceDN w:val="0"/>
        <w:rPr>
          <w:rFonts w:asciiTheme="minorEastAsia" w:eastAsiaTheme="minorEastAsia" w:hAnsiTheme="minorEastAsia"/>
        </w:rPr>
      </w:pPr>
      <w:r w:rsidRPr="00D43090">
        <w:rPr>
          <w:rFonts w:asciiTheme="minorEastAsia" w:eastAsiaTheme="minorEastAsia" w:hAnsiTheme="minorEastAsia" w:hint="eastAsia"/>
        </w:rPr>
        <w:t>などが典型的な事例と言えます。明確な各国国内法違反、人権侵害という事例も増えてきていますが、一方で、ＩＬＯの基本８条約に明らかに抵触するものの、国内法違反とは言い切れない、あるいは、合法の体裁を整えている場合も多く、「国内法に違反しなければよい」という意識が、国内法よりも優先すべき国際法違反の行為を放置することにつながっています。</w:t>
      </w:r>
    </w:p>
    <w:p w:rsidR="00B55BC3" w:rsidRDefault="00B55BC3" w:rsidP="00B55BC3">
      <w:pPr>
        <w:autoSpaceDE w:val="0"/>
        <w:autoSpaceDN w:val="0"/>
        <w:ind w:firstLineChars="100" w:firstLine="216"/>
        <w:rPr>
          <w:rFonts w:asciiTheme="minorEastAsia" w:eastAsiaTheme="minorEastAsia" w:hAnsiTheme="minorEastAsia"/>
        </w:rPr>
      </w:pPr>
      <w:r w:rsidRPr="00D43090">
        <w:rPr>
          <w:rFonts w:asciiTheme="minorEastAsia" w:eastAsiaTheme="minorEastAsia" w:hAnsiTheme="minorEastAsia" w:hint="eastAsia"/>
        </w:rPr>
        <w:t>これらの労使紛争は、海外現地法人の日本人出向者や現地の経営者、マネージャーの中核的労働基準への理解・認識の不足や、労使対話の欠如から生じていることから、金属労協では、海外拠点における建設的な労使関係構築に向けて、日本国内およびタイ、インドネシアで労使参加のセミナー、ワークショップを開催しており、「タイ労使ワークショップ」は、在タイ日本国大使館の後援の下に開催しています。地方自治体がタイ、インドネシアに海外事務所を設置している場合には、現地のワークショップに自治体の現地事務所の駐在員に参加を促し、中核的労働基準の重要性を海外現地法人に広めていくことが重要です。</w:t>
      </w:r>
    </w:p>
    <w:p w:rsidR="007A6050" w:rsidRPr="00D43090" w:rsidRDefault="007A6050" w:rsidP="00B55BC3">
      <w:pPr>
        <w:autoSpaceDE w:val="0"/>
        <w:autoSpaceDN w:val="0"/>
        <w:ind w:firstLineChars="100" w:firstLine="216"/>
        <w:rPr>
          <w:rFonts w:asciiTheme="minorEastAsia" w:eastAsiaTheme="minorEastAsia" w:hAnsiTheme="minorEastAsia" w:hint="eastAsia"/>
        </w:rPr>
      </w:pPr>
    </w:p>
    <w:p w:rsidR="00B55BC3" w:rsidRPr="00D43090" w:rsidRDefault="00B55BC3" w:rsidP="00B55BC3">
      <w:pPr>
        <w:autoSpaceDE w:val="0"/>
        <w:autoSpaceDN w:val="0"/>
        <w:adjustRightInd w:val="0"/>
        <w:jc w:val="center"/>
        <w:rPr>
          <w:rFonts w:asciiTheme="minorEastAsia" w:eastAsiaTheme="minorEastAsia" w:hAnsiTheme="minorEastAsia"/>
          <w:szCs w:val="21"/>
        </w:rPr>
      </w:pPr>
      <w:r w:rsidRPr="00D43090">
        <w:rPr>
          <w:rFonts w:asciiTheme="majorEastAsia" w:eastAsiaTheme="majorEastAsia" w:hAnsiTheme="majorEastAsia" w:hint="eastAsia"/>
          <w:sz w:val="20"/>
          <w:szCs w:val="20"/>
        </w:rPr>
        <w:t>資料</w:t>
      </w:r>
      <w:r>
        <w:rPr>
          <w:rFonts w:asciiTheme="majorEastAsia" w:eastAsiaTheme="majorEastAsia" w:hAnsiTheme="majorEastAsia" w:hint="eastAsia"/>
          <w:sz w:val="20"/>
          <w:szCs w:val="20"/>
        </w:rPr>
        <w:t>25</w:t>
      </w:r>
      <w:r w:rsidRPr="00D43090">
        <w:rPr>
          <w:rFonts w:asciiTheme="majorEastAsia" w:eastAsiaTheme="majorEastAsia" w:hAnsiTheme="majorEastAsia" w:hint="eastAsia"/>
          <w:sz w:val="20"/>
          <w:szCs w:val="20"/>
        </w:rPr>
        <w:t xml:space="preserve">　金属労協の開催している労使ワークショップの例（2019年開催のもの）</w:t>
      </w:r>
      <w:r w:rsidRPr="00D43090">
        <w:rPr>
          <w:noProof/>
        </w:rPr>
        <w:drawing>
          <wp:inline distT="0" distB="0" distL="0" distR="0" wp14:anchorId="7753D25A" wp14:editId="65B9B763">
            <wp:extent cx="3682819" cy="5130128"/>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88122" cy="5137515"/>
                    </a:xfrm>
                    <a:prstGeom prst="rect">
                      <a:avLst/>
                    </a:prstGeom>
                  </pic:spPr>
                </pic:pic>
              </a:graphicData>
            </a:graphic>
          </wp:inline>
        </w:drawing>
      </w:r>
    </w:p>
    <w:p w:rsidR="00B55BC3" w:rsidRPr="00D43090" w:rsidRDefault="00B55BC3" w:rsidP="00B55BC3">
      <w:pPr>
        <w:autoSpaceDE w:val="0"/>
        <w:autoSpaceDN w:val="0"/>
        <w:adjustRightInd w:val="0"/>
        <w:jc w:val="center"/>
        <w:rPr>
          <w:rFonts w:asciiTheme="majorEastAsia" w:eastAsiaTheme="majorEastAsia" w:hAnsiTheme="majorEastAsia"/>
          <w:sz w:val="18"/>
          <w:szCs w:val="18"/>
        </w:rPr>
      </w:pPr>
      <w:r w:rsidRPr="00D43090">
        <w:rPr>
          <w:rFonts w:asciiTheme="majorEastAsia" w:eastAsiaTheme="majorEastAsia" w:hAnsiTheme="majorEastAsia" w:hint="eastAsia"/>
          <w:sz w:val="18"/>
          <w:szCs w:val="18"/>
        </w:rPr>
        <w:t>資料出所：金属労協国際局</w:t>
      </w:r>
    </w:p>
    <w:p w:rsidR="00B55BC3" w:rsidRPr="00D43090" w:rsidRDefault="00B55BC3" w:rsidP="00B55BC3">
      <w:pPr>
        <w:autoSpaceDE w:val="0"/>
        <w:autoSpaceDN w:val="0"/>
        <w:ind w:firstLineChars="100" w:firstLine="216"/>
        <w:rPr>
          <w:rFonts w:asciiTheme="minorEastAsia" w:eastAsiaTheme="minorEastAsia" w:hAnsiTheme="minorEastAsia"/>
        </w:rPr>
      </w:pPr>
      <w:r w:rsidRPr="00D43090">
        <w:rPr>
          <w:rFonts w:asciiTheme="minorEastAsia" w:eastAsiaTheme="minorEastAsia" w:hAnsiTheme="minorEastAsia" w:hint="eastAsia"/>
        </w:rPr>
        <w:t>なお、海外展開先の国内法がＩＬＯの中核的労働基準を満たしていない場合、国連のグローバル・コンパクトでは、</w:t>
      </w:r>
    </w:p>
    <w:p w:rsidR="00B55BC3" w:rsidRPr="00D43090" w:rsidRDefault="00B55BC3" w:rsidP="00B55BC3">
      <w:pPr>
        <w:autoSpaceDE w:val="0"/>
        <w:autoSpaceDN w:val="0"/>
        <w:ind w:leftChars="100" w:left="432" w:hangingChars="100" w:hanging="216"/>
        <w:rPr>
          <w:rFonts w:asciiTheme="minorEastAsia" w:eastAsiaTheme="minorEastAsia" w:hAnsiTheme="minorEastAsia"/>
        </w:rPr>
      </w:pPr>
      <w:r w:rsidRPr="00D43090">
        <w:rPr>
          <w:rFonts w:asciiTheme="minorEastAsia" w:eastAsiaTheme="minorEastAsia" w:hAnsiTheme="minorEastAsia" w:hint="eastAsia"/>
        </w:rPr>
        <w:t>・政府が人権（職場での権利を含め）の尊重を認めていないか、労使関係と団体交渉について適切な法的・制度的枠組みを提供していない国においては、労働組合とその指導者の秘密性を保護すること。</w:t>
      </w:r>
    </w:p>
    <w:p w:rsidR="00B55BC3" w:rsidRPr="00D43090" w:rsidRDefault="00B55BC3" w:rsidP="00B55BC3">
      <w:pPr>
        <w:autoSpaceDE w:val="0"/>
        <w:autoSpaceDN w:val="0"/>
        <w:ind w:firstLineChars="100" w:firstLine="216"/>
        <w:rPr>
          <w:rFonts w:asciiTheme="minorEastAsia" w:eastAsiaTheme="minorEastAsia" w:hAnsiTheme="minorEastAsia"/>
        </w:rPr>
      </w:pPr>
      <w:r w:rsidRPr="00D43090">
        <w:rPr>
          <w:rFonts w:asciiTheme="minorEastAsia" w:eastAsiaTheme="minorEastAsia" w:hAnsiTheme="minorEastAsia" w:hint="eastAsia"/>
        </w:rPr>
        <w:t>社会的責任規格ＩＳＯ26000では、</w:t>
      </w:r>
    </w:p>
    <w:p w:rsidR="00B55BC3" w:rsidRPr="00D43090" w:rsidRDefault="00B55BC3" w:rsidP="00B55BC3">
      <w:pPr>
        <w:autoSpaceDE w:val="0"/>
        <w:autoSpaceDN w:val="0"/>
        <w:ind w:firstLineChars="100" w:firstLine="216"/>
        <w:rPr>
          <w:rFonts w:asciiTheme="minorEastAsia" w:eastAsiaTheme="minorEastAsia" w:hAnsiTheme="minorEastAsia"/>
        </w:rPr>
      </w:pPr>
      <w:r w:rsidRPr="00D43090">
        <w:rPr>
          <w:rFonts w:asciiTheme="minorEastAsia" w:eastAsiaTheme="minorEastAsia" w:hAnsiTheme="minorEastAsia" w:hint="eastAsia"/>
        </w:rPr>
        <w:t>・国内法で適切な保護手段がとられていない場合は、国際行動規範を尊重する。</w:t>
      </w:r>
    </w:p>
    <w:p w:rsidR="00B55BC3" w:rsidRPr="00D43090" w:rsidRDefault="00B55BC3" w:rsidP="00B55BC3">
      <w:pPr>
        <w:autoSpaceDE w:val="0"/>
        <w:autoSpaceDN w:val="0"/>
        <w:ind w:firstLineChars="100" w:firstLine="216"/>
        <w:rPr>
          <w:rFonts w:asciiTheme="minorEastAsia" w:eastAsiaTheme="minorEastAsia" w:hAnsiTheme="minorEastAsia"/>
        </w:rPr>
      </w:pPr>
      <w:r w:rsidRPr="00D43090">
        <w:rPr>
          <w:rFonts w:asciiTheme="minorEastAsia" w:eastAsiaTheme="minorEastAsia" w:hAnsiTheme="minorEastAsia" w:hint="eastAsia"/>
        </w:rPr>
        <w:t>・国内法が国際行動規範と対立する場合は、国際行動規範を最大限尊重する。</w:t>
      </w:r>
    </w:p>
    <w:p w:rsidR="00B55BC3" w:rsidRPr="00D43090" w:rsidRDefault="00B55BC3" w:rsidP="00B55BC3">
      <w:pPr>
        <w:autoSpaceDE w:val="0"/>
        <w:autoSpaceDN w:val="0"/>
        <w:ind w:leftChars="100" w:left="432" w:hangingChars="100" w:hanging="216"/>
        <w:rPr>
          <w:rFonts w:asciiTheme="minorEastAsia" w:eastAsiaTheme="minorEastAsia" w:hAnsiTheme="minorEastAsia"/>
        </w:rPr>
      </w:pPr>
      <w:r w:rsidRPr="00D43090">
        <w:rPr>
          <w:rFonts w:asciiTheme="minorEastAsia" w:eastAsiaTheme="minorEastAsia" w:hAnsiTheme="minorEastAsia" w:hint="eastAsia"/>
        </w:rPr>
        <w:t>・国内法が国際行動規範と対立しており、国際行動規範に従わないことによって重大な結果が予想される場合、その国での活動について確認（review）する。</w:t>
      </w:r>
    </w:p>
    <w:p w:rsidR="00B55BC3" w:rsidRPr="00D43090" w:rsidRDefault="00B55BC3" w:rsidP="00B55BC3">
      <w:pPr>
        <w:autoSpaceDE w:val="0"/>
        <w:autoSpaceDN w:val="0"/>
        <w:ind w:firstLineChars="100" w:firstLine="216"/>
        <w:rPr>
          <w:rFonts w:asciiTheme="minorEastAsia" w:eastAsiaTheme="minorEastAsia" w:hAnsiTheme="minorEastAsia"/>
        </w:rPr>
      </w:pPr>
      <w:r w:rsidRPr="00D43090">
        <w:rPr>
          <w:rFonts w:asciiTheme="minorEastAsia" w:eastAsiaTheme="minorEastAsia" w:hAnsiTheme="minorEastAsia" w:hint="eastAsia"/>
        </w:rPr>
        <w:t>・国内法と国際行動規範の対立を解決するよう、関連当局に影響力を及ぼす。</w:t>
      </w:r>
    </w:p>
    <w:p w:rsidR="00B55BC3" w:rsidRPr="00D43090" w:rsidRDefault="00B55BC3" w:rsidP="00B55BC3">
      <w:pPr>
        <w:autoSpaceDE w:val="0"/>
        <w:autoSpaceDN w:val="0"/>
        <w:ind w:firstLineChars="100" w:firstLine="216"/>
        <w:rPr>
          <w:rFonts w:asciiTheme="minorEastAsia" w:eastAsiaTheme="minorEastAsia" w:hAnsiTheme="minorEastAsia"/>
        </w:rPr>
      </w:pPr>
      <w:r w:rsidRPr="00D43090">
        <w:rPr>
          <w:rFonts w:asciiTheme="minorEastAsia" w:eastAsiaTheme="minorEastAsia" w:hAnsiTheme="minorEastAsia" w:hint="eastAsia"/>
        </w:rPr>
        <w:t>・国際行動規範と整合しない他組織の活動に加担しない。</w:t>
      </w:r>
    </w:p>
    <w:p w:rsidR="007A6050" w:rsidRDefault="00B55BC3" w:rsidP="00B55BC3">
      <w:pPr>
        <w:autoSpaceDE w:val="0"/>
        <w:autoSpaceDN w:val="0"/>
        <w:rPr>
          <w:rFonts w:asciiTheme="minorEastAsia" w:eastAsiaTheme="minorEastAsia" w:hAnsiTheme="minorEastAsia"/>
        </w:rPr>
      </w:pPr>
      <w:r w:rsidRPr="00D43090">
        <w:rPr>
          <w:rFonts w:asciiTheme="minorEastAsia" w:eastAsiaTheme="minorEastAsia" w:hAnsiTheme="minorEastAsia" w:hint="eastAsia"/>
        </w:rPr>
        <w:t>といった対応を求めており、企業に対する理解促進が必要です。</w:t>
      </w:r>
    </w:p>
    <w:p w:rsidR="007A6050" w:rsidRDefault="007A6050">
      <w:pPr>
        <w:widowControl/>
        <w:jc w:val="left"/>
        <w:rPr>
          <w:rFonts w:asciiTheme="minorEastAsia" w:eastAsiaTheme="minorEastAsia" w:hAnsiTheme="minorEastAsia"/>
        </w:rPr>
      </w:pPr>
      <w:r>
        <w:rPr>
          <w:rFonts w:asciiTheme="minorEastAsia" w:eastAsiaTheme="minorEastAsia" w:hAnsiTheme="minorEastAsia"/>
        </w:rPr>
        <w:br w:type="page"/>
      </w:r>
    </w:p>
    <w:p w:rsidR="00B55BC3" w:rsidRPr="00D43090" w:rsidRDefault="00B55BC3" w:rsidP="00B55BC3">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D43090">
        <w:rPr>
          <w:rFonts w:ascii="ＭＳ ゴシック" w:eastAsia="ＭＳ ゴシック" w:hAnsi="ＭＳ ゴシック" w:hint="eastAsia"/>
          <w:sz w:val="22"/>
          <w:szCs w:val="22"/>
        </w:rPr>
        <w:t>＜自治体・地方議員への要請項目＞</w:t>
      </w:r>
    </w:p>
    <w:p w:rsidR="00B55BC3" w:rsidRPr="00D43090" w:rsidRDefault="00B55BC3" w:rsidP="00B55BC3">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D43090">
        <w:rPr>
          <mc:AlternateContent>
            <mc:Choice Requires="w16se">
              <w:rFonts w:ascii="ＭＳ ゴシック" w:eastAsia="ＭＳ ゴシック" w:hAnsi="ＭＳ ゴシック" w:hint="eastAsia"/>
            </mc:Choice>
            <mc:Fallback>
              <w:rFonts w:hAnsi="ＭＳ 明朝" w:cs="ＭＳ 明朝" w:hint="eastAsia"/>
            </mc:Fallback>
          </mc:AlternateContent>
          <w:sz w:val="22"/>
          <w:szCs w:val="22"/>
        </w:rPr>
        <mc:AlternateContent>
          <mc:Choice Requires="w16se">
            <w16se:symEx w16se:font="ＭＳ 明朝" w16se:char="2467"/>
          </mc:Choice>
          <mc:Fallback>
            <w:t>⑧</w:t>
          </mc:Fallback>
        </mc:AlternateContent>
      </w:r>
      <w:r w:rsidRPr="00D43090">
        <w:rPr>
          <w:rFonts w:ascii="ＭＳ ゴシック" w:eastAsia="ＭＳ ゴシック" w:hAnsi="ＭＳ ゴシック" w:hint="eastAsia"/>
          <w:sz w:val="22"/>
          <w:szCs w:val="22"/>
        </w:rPr>
        <w:t>地域活性化に向けたふるさと納税の活用</w:t>
      </w:r>
    </w:p>
    <w:p w:rsidR="00B55BC3" w:rsidRPr="00D43090" w:rsidRDefault="00B55BC3" w:rsidP="00B55BC3">
      <w:pPr>
        <w:autoSpaceDE w:val="0"/>
        <w:autoSpaceDN w:val="0"/>
        <w:ind w:firstLineChars="95" w:firstLine="205"/>
        <w:rPr>
          <w:rFonts w:hAnsi="ＭＳ 明朝"/>
          <w:szCs w:val="21"/>
        </w:rPr>
      </w:pPr>
      <w:r w:rsidRPr="00D43090">
        <w:rPr>
          <w:rFonts w:hAnsi="ＭＳ 明朝" w:hint="eastAsia"/>
          <w:szCs w:val="21"/>
        </w:rPr>
        <w:t>ふるさと納税の使途については、通常の歳出では予算が確保されにくい教育予算や産業振興など、地域活性化に資するものとし、たとえば、</w:t>
      </w:r>
    </w:p>
    <w:p w:rsidR="00B55BC3" w:rsidRPr="00D43090" w:rsidRDefault="00B55BC3" w:rsidP="00B55BC3">
      <w:pPr>
        <w:autoSpaceDE w:val="0"/>
        <w:autoSpaceDN w:val="0"/>
        <w:ind w:firstLineChars="95" w:firstLine="205"/>
        <w:rPr>
          <w:rFonts w:hAnsi="ＭＳ 明朝"/>
          <w:szCs w:val="21"/>
        </w:rPr>
      </w:pPr>
      <w:r w:rsidRPr="00D43090">
        <w:rPr>
          <w:rFonts w:hAnsi="ＭＳ 明朝" w:hint="eastAsia"/>
          <w:szCs w:val="21"/>
        </w:rPr>
        <w:t>・専門高校の産業教育設備の購入・更新・修繕の費用。</w:t>
      </w:r>
    </w:p>
    <w:p w:rsidR="00B55BC3" w:rsidRPr="00D43090" w:rsidRDefault="00B55BC3" w:rsidP="00B55BC3">
      <w:pPr>
        <w:autoSpaceDE w:val="0"/>
        <w:autoSpaceDN w:val="0"/>
        <w:ind w:firstLineChars="95" w:firstLine="205"/>
        <w:rPr>
          <w:rFonts w:hAnsi="ＭＳ 明朝"/>
          <w:szCs w:val="21"/>
        </w:rPr>
      </w:pPr>
      <w:r w:rsidRPr="00D43090">
        <w:rPr>
          <w:rFonts w:hAnsi="ＭＳ 明朝" w:hint="eastAsia"/>
          <w:szCs w:val="21"/>
        </w:rPr>
        <w:t>・地方自治体独自の給付型奨学金の創設・拡充など、子どもの貧困・進学格差対策</w:t>
      </w:r>
    </w:p>
    <w:p w:rsidR="00B55BC3" w:rsidRPr="00D43090" w:rsidRDefault="00B55BC3" w:rsidP="00B55BC3">
      <w:pPr>
        <w:autoSpaceDE w:val="0"/>
        <w:autoSpaceDN w:val="0"/>
        <w:ind w:firstLineChars="95" w:firstLine="205"/>
        <w:rPr>
          <w:rFonts w:hAnsi="ＭＳ 明朝"/>
          <w:szCs w:val="21"/>
        </w:rPr>
      </w:pPr>
      <w:r w:rsidRPr="00D43090">
        <w:rPr>
          <w:rFonts w:hAnsi="ＭＳ 明朝" w:hint="eastAsia"/>
          <w:szCs w:val="21"/>
        </w:rPr>
        <w:t>・農産物、工業製品を問わず、返礼品＝試供品としての地元産品の活用</w:t>
      </w:r>
    </w:p>
    <w:p w:rsidR="00B55BC3" w:rsidRPr="00D43090" w:rsidRDefault="00B55BC3" w:rsidP="00B55BC3">
      <w:pPr>
        <w:autoSpaceDE w:val="0"/>
        <w:autoSpaceDN w:val="0"/>
        <w:rPr>
          <w:rFonts w:hAnsi="ＭＳ 明朝"/>
          <w:szCs w:val="21"/>
        </w:rPr>
      </w:pPr>
      <w:r w:rsidRPr="00D43090">
        <w:rPr>
          <w:rFonts w:hAnsi="ＭＳ 明朝" w:hint="eastAsia"/>
          <w:szCs w:val="21"/>
        </w:rPr>
        <w:t>などに用いること。</w:t>
      </w:r>
    </w:p>
    <w:p w:rsidR="00B55BC3" w:rsidRPr="00D43090" w:rsidRDefault="00B55BC3" w:rsidP="00B55BC3">
      <w:pPr>
        <w:autoSpaceDE w:val="0"/>
        <w:autoSpaceDN w:val="0"/>
        <w:ind w:firstLineChars="95" w:firstLine="205"/>
        <w:rPr>
          <w:rFonts w:hAnsi="ＭＳ 明朝"/>
          <w:szCs w:val="21"/>
        </w:rPr>
      </w:pPr>
      <w:r w:rsidRPr="00D43090">
        <w:rPr>
          <w:rFonts w:hAnsi="ＭＳ 明朝" w:hint="eastAsia"/>
          <w:szCs w:val="21"/>
        </w:rPr>
        <w:t>市区町村に対しても、ふるさと納税を地元の都道府県立専門高校の産業教育設備の購入・更新・修繕費用に用いるよう、協力を求めること。</w:t>
      </w:r>
    </w:p>
    <w:p w:rsidR="00B55BC3" w:rsidRDefault="00B55BC3" w:rsidP="00B55BC3">
      <w:pPr>
        <w:autoSpaceDE w:val="0"/>
        <w:autoSpaceDN w:val="0"/>
        <w:rPr>
          <w:rFonts w:asciiTheme="majorEastAsia" w:eastAsiaTheme="majorEastAsia" w:hAnsiTheme="majorEastAsia"/>
          <w:szCs w:val="21"/>
        </w:rPr>
      </w:pPr>
    </w:p>
    <w:p w:rsidR="00B55BC3" w:rsidRPr="00D43090" w:rsidRDefault="00B55BC3" w:rsidP="00B55BC3">
      <w:pPr>
        <w:autoSpaceDE w:val="0"/>
        <w:autoSpaceDN w:val="0"/>
        <w:rPr>
          <w:rFonts w:asciiTheme="majorEastAsia" w:eastAsiaTheme="majorEastAsia" w:hAnsiTheme="majorEastAsia"/>
          <w:szCs w:val="21"/>
        </w:rPr>
      </w:pPr>
      <w:r w:rsidRPr="00D43090">
        <w:rPr>
          <mc:AlternateContent>
            <mc:Choice Requires="w16se">
              <w:rFonts w:asciiTheme="majorEastAsia" w:eastAsiaTheme="majorEastAsia" w:hAnsiTheme="majorEastAsia" w:hint="eastAsia"/>
            </mc:Choice>
            <mc:Fallback>
              <w:rFonts w:hAnsi="ＭＳ 明朝" w:cs="ＭＳ 明朝" w:hint="eastAsia"/>
            </mc:Fallback>
          </mc:AlternateContent>
          <w:szCs w:val="21"/>
        </w:rPr>
        <mc:AlternateContent>
          <mc:Choice Requires="w16se">
            <w16se:symEx w16se:font="ＭＳ 明朝" w16se:char="279D"/>
          </mc:Choice>
          <mc:Fallback>
            <w:t>➝</w:t>
          </mc:Fallback>
        </mc:AlternateContent>
      </w:r>
      <w:r w:rsidRPr="00D43090">
        <w:rPr>
          <w:rFonts w:asciiTheme="majorEastAsia" w:eastAsiaTheme="majorEastAsia" w:hAnsiTheme="majorEastAsia" w:hint="eastAsia"/>
          <w:szCs w:val="21"/>
        </w:rPr>
        <w:t xml:space="preserve">　背景説明</w:t>
      </w:r>
    </w:p>
    <w:p w:rsidR="00B55BC3" w:rsidRPr="00D43090" w:rsidRDefault="00B55BC3" w:rsidP="00B55BC3">
      <w:pPr>
        <w:autoSpaceDE w:val="0"/>
        <w:autoSpaceDN w:val="0"/>
        <w:rPr>
          <w:rFonts w:hAnsi="ＭＳ 明朝"/>
          <w:szCs w:val="21"/>
        </w:rPr>
      </w:pPr>
      <w:r w:rsidRPr="00D43090">
        <w:rPr>
          <w:rFonts w:hAnsi="ＭＳ 明朝" w:hint="eastAsia"/>
          <w:szCs w:val="21"/>
        </w:rPr>
        <w:t>（専門高校の産業教育設備への活用）</w:t>
      </w:r>
    </w:p>
    <w:p w:rsidR="00B55BC3" w:rsidRPr="00D43090" w:rsidRDefault="00B55BC3" w:rsidP="00B55BC3">
      <w:pPr>
        <w:autoSpaceDE w:val="0"/>
        <w:autoSpaceDN w:val="0"/>
        <w:ind w:firstLineChars="100" w:firstLine="216"/>
        <w:rPr>
          <w:rFonts w:hAnsi="ＭＳ 明朝"/>
          <w:szCs w:val="21"/>
        </w:rPr>
      </w:pPr>
      <w:r w:rsidRPr="00D43090">
        <w:rPr>
          <w:rFonts w:hAnsi="ＭＳ 明朝" w:hint="eastAsia"/>
          <w:szCs w:val="21"/>
        </w:rPr>
        <w:t>ふるさと納税の当初の意図は、「地方のふるさとで生まれ、教育を受け、育ち、進学や就職を機に都会に出て、そこで納税をする」のを地方に還元するということですから、専門高校の実験実習設備をふるさと納税で整備するというのは、まさに当初の意図どおりということになります。</w:t>
      </w:r>
    </w:p>
    <w:p w:rsidR="00B55BC3" w:rsidRPr="00D43090" w:rsidRDefault="00B55BC3" w:rsidP="00B55BC3">
      <w:pPr>
        <w:autoSpaceDE w:val="0"/>
        <w:autoSpaceDN w:val="0"/>
        <w:ind w:firstLineChars="100" w:firstLine="216"/>
        <w:rPr>
          <w:rFonts w:hAnsi="ＭＳ 明朝"/>
          <w:szCs w:val="21"/>
        </w:rPr>
      </w:pPr>
      <w:r w:rsidRPr="00D43090">
        <w:rPr>
          <w:rFonts w:hAnsi="ＭＳ 明朝" w:hint="eastAsia"/>
          <w:szCs w:val="21"/>
        </w:rPr>
        <w:t>専門高校は都道府県立なので、実験実習設備などの購入・更新・修繕は、当然、都道府県が行うことになりますが、十分な予算が確保できていません。地方では、優秀な専門高校ほど卒業生が大都市圏に流出してしまうので、専門高校の予算は無駄とみなされている場合もあるようです。</w:t>
      </w:r>
    </w:p>
    <w:p w:rsidR="00B55BC3" w:rsidRPr="00D43090" w:rsidRDefault="00B55BC3" w:rsidP="00B55BC3">
      <w:pPr>
        <w:autoSpaceDE w:val="0"/>
        <w:autoSpaceDN w:val="0"/>
        <w:ind w:firstLineChars="100" w:firstLine="216"/>
        <w:rPr>
          <w:rFonts w:hAnsi="ＭＳ 明朝"/>
          <w:szCs w:val="21"/>
        </w:rPr>
      </w:pPr>
      <w:r w:rsidRPr="00D43090">
        <w:rPr>
          <w:rFonts w:hAnsi="ＭＳ 明朝" w:hint="eastAsia"/>
          <w:szCs w:val="21"/>
        </w:rPr>
        <w:t>都道府県に寄せられたふるさと納税は問題がありませんが、市区町村に対するふるさと納税を都道府県立高校に使うという点については、市区町村の役所・役場としては、抵抗があるかもしれません。しかしながら設置者がどこであれ、住民の子弟の通う学校教育の充実は、市区町村にとって重要であるということについて、理解を深めていく必要があります。</w:t>
      </w:r>
    </w:p>
    <w:p w:rsidR="00B55BC3" w:rsidRPr="00D43090" w:rsidRDefault="00B55BC3" w:rsidP="00B55BC3">
      <w:pPr>
        <w:autoSpaceDE w:val="0"/>
        <w:autoSpaceDN w:val="0"/>
        <w:ind w:firstLineChars="100" w:firstLine="216"/>
        <w:rPr>
          <w:rFonts w:hAnsi="ＭＳ 明朝"/>
          <w:szCs w:val="21"/>
        </w:rPr>
      </w:pPr>
      <w:r w:rsidRPr="00D43090">
        <w:rPr>
          <w:rFonts w:hAnsi="ＭＳ 明朝" w:hint="eastAsia"/>
          <w:szCs w:val="21"/>
        </w:rPr>
        <w:t>なお、総務省のホームページでは、ふるさと納税を専門高校などの教育の充実に活用する事例を紹介しています。</w:t>
      </w:r>
    </w:p>
    <w:p w:rsidR="00B55BC3" w:rsidRPr="00D43090" w:rsidRDefault="00B55BC3" w:rsidP="00B55BC3">
      <w:pPr>
        <w:autoSpaceDE w:val="0"/>
        <w:autoSpaceDN w:val="0"/>
        <w:ind w:firstLineChars="100" w:firstLine="216"/>
        <w:rPr>
          <w:rFonts w:hAnsi="ＭＳ 明朝"/>
          <w:szCs w:val="21"/>
        </w:rPr>
      </w:pPr>
    </w:p>
    <w:p w:rsidR="00B55BC3" w:rsidRPr="00D43090" w:rsidRDefault="00B55BC3" w:rsidP="00B55BC3">
      <w:pPr>
        <w:autoSpaceDE w:val="0"/>
        <w:autoSpaceDN w:val="0"/>
        <w:ind w:left="216" w:hangingChars="100" w:hanging="216"/>
        <w:jc w:val="center"/>
        <w:rPr>
          <w:rFonts w:hAnsi="ＭＳ 明朝"/>
          <w:szCs w:val="21"/>
        </w:rPr>
      </w:pPr>
      <w:r w:rsidRPr="004D73A6">
        <w:rPr>
          <w:noProof/>
        </w:rPr>
        <w:drawing>
          <wp:inline distT="0" distB="0" distL="0" distR="0" wp14:anchorId="20BD3200" wp14:editId="1533E618">
            <wp:extent cx="3540960" cy="1191960"/>
            <wp:effectExtent l="0" t="0" r="2540" b="8255"/>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0960" cy="1191960"/>
                    </a:xfrm>
                    <a:prstGeom prst="rect">
                      <a:avLst/>
                    </a:prstGeom>
                    <a:noFill/>
                    <a:ln>
                      <a:noFill/>
                    </a:ln>
                  </pic:spPr>
                </pic:pic>
              </a:graphicData>
            </a:graphic>
          </wp:inline>
        </w:drawing>
      </w:r>
    </w:p>
    <w:p w:rsidR="00B55BC3" w:rsidRPr="00D43090" w:rsidRDefault="00B55BC3" w:rsidP="00B55BC3">
      <w:pPr>
        <w:autoSpaceDE w:val="0"/>
        <w:autoSpaceDN w:val="0"/>
        <w:ind w:left="216" w:hangingChars="100" w:hanging="216"/>
        <w:rPr>
          <w:rFonts w:hAnsi="ＭＳ 明朝"/>
          <w:szCs w:val="21"/>
        </w:rPr>
      </w:pPr>
    </w:p>
    <w:p w:rsidR="00B55BC3" w:rsidRPr="00D43090" w:rsidRDefault="00B55BC3" w:rsidP="00B55BC3">
      <w:pPr>
        <w:autoSpaceDE w:val="0"/>
        <w:autoSpaceDN w:val="0"/>
        <w:ind w:left="216" w:hangingChars="100" w:hanging="216"/>
        <w:rPr>
          <w:rFonts w:hAnsi="ＭＳ 明朝"/>
          <w:szCs w:val="21"/>
        </w:rPr>
      </w:pPr>
      <w:r w:rsidRPr="00D43090">
        <w:rPr>
          <w:rFonts w:hAnsi="ＭＳ 明朝" w:hint="eastAsia"/>
          <w:szCs w:val="21"/>
        </w:rPr>
        <w:t>（返礼品）</w:t>
      </w:r>
    </w:p>
    <w:p w:rsidR="00B55BC3" w:rsidRPr="00D43090" w:rsidRDefault="00B55BC3" w:rsidP="00B55BC3">
      <w:pPr>
        <w:autoSpaceDE w:val="0"/>
        <w:autoSpaceDN w:val="0"/>
        <w:ind w:firstLineChars="100" w:firstLine="216"/>
        <w:rPr>
          <w:rFonts w:hAnsi="ＭＳ 明朝"/>
          <w:szCs w:val="21"/>
        </w:rPr>
      </w:pPr>
      <w:r w:rsidRPr="00D43090">
        <w:rPr>
          <w:rFonts w:hAnsi="ＭＳ 明朝" w:hint="eastAsia"/>
          <w:szCs w:val="21"/>
        </w:rPr>
        <w:t>総務省は2017年４月、「ふるさと納税の返礼品に関する有識者の意見の概要」を発表しましたが、この中には、「返礼品は本来不要であり、首長からふるさと納税を行ってくれた人への感謝の言葉などに止めるべき」という意見がある一方、</w:t>
      </w:r>
    </w:p>
    <w:p w:rsidR="00B55BC3" w:rsidRPr="00D43090" w:rsidRDefault="00B55BC3" w:rsidP="00B55BC3">
      <w:pPr>
        <w:autoSpaceDE w:val="0"/>
        <w:autoSpaceDN w:val="0"/>
        <w:ind w:leftChars="100" w:left="432" w:hangingChars="100" w:hanging="216"/>
        <w:rPr>
          <w:rFonts w:hAnsi="ＭＳ 明朝"/>
          <w:szCs w:val="21"/>
        </w:rPr>
      </w:pPr>
      <w:r w:rsidRPr="00D43090">
        <w:rPr>
          <w:rFonts w:hAnsi="ＭＳ 明朝" w:hint="eastAsia"/>
          <w:szCs w:val="21"/>
        </w:rPr>
        <w:t>・地方の特産品事業者等の創意工夫（アントレプレナーシップ）を喚起し、企業力の向上に繋がっている。</w:t>
      </w:r>
    </w:p>
    <w:p w:rsidR="00B55BC3" w:rsidRPr="00D43090" w:rsidRDefault="00B55BC3" w:rsidP="00B55BC3">
      <w:pPr>
        <w:autoSpaceDE w:val="0"/>
        <w:autoSpaceDN w:val="0"/>
        <w:ind w:leftChars="100" w:left="432" w:hangingChars="100" w:hanging="216"/>
        <w:rPr>
          <w:rFonts w:hAnsi="ＭＳ 明朝"/>
          <w:szCs w:val="21"/>
        </w:rPr>
      </w:pPr>
      <w:r w:rsidRPr="00D43090">
        <w:rPr>
          <w:rFonts w:hAnsi="ＭＳ 明朝" w:hint="eastAsia"/>
          <w:szCs w:val="21"/>
        </w:rPr>
        <w:t>・地方の特産品事業者は、返礼品の提供を通じて、マーケティング能力を磨くとともに、デザインや商品説明の工夫を行うなど、商品力の向上に努めている。返礼品の提供は功罪あるが、間接的に地方における中小地場産業の育成に繋がっている面も重要。</w:t>
      </w:r>
    </w:p>
    <w:p w:rsidR="00B55BC3" w:rsidRPr="00D43090" w:rsidRDefault="00B55BC3" w:rsidP="00B55BC3">
      <w:pPr>
        <w:autoSpaceDE w:val="0"/>
        <w:autoSpaceDN w:val="0"/>
        <w:ind w:leftChars="100" w:left="432" w:hangingChars="100" w:hanging="216"/>
        <w:rPr>
          <w:rFonts w:hAnsi="ＭＳ 明朝"/>
          <w:szCs w:val="21"/>
        </w:rPr>
      </w:pPr>
      <w:r w:rsidRPr="00D43090">
        <w:rPr>
          <w:rFonts w:hAnsi="ＭＳ 明朝" w:hint="eastAsia"/>
          <w:szCs w:val="21"/>
        </w:rPr>
        <w:t>・返礼品は、地域で頑張っている農家、漁師の方一人一人が直接、消費者と向き合う契機となっている。そこから意識改革とやる気が生まれ、地場産業の発展に寄与している。また、そうした農家の方々などをとりまとめる地域商社的な取組が生まれ、ネットワーク化が進んでいる。</w:t>
      </w:r>
    </w:p>
    <w:p w:rsidR="00B55BC3" w:rsidRPr="00D43090" w:rsidRDefault="00B55BC3" w:rsidP="00B55BC3">
      <w:pPr>
        <w:autoSpaceDE w:val="0"/>
        <w:autoSpaceDN w:val="0"/>
        <w:ind w:leftChars="100" w:left="432" w:hangingChars="100" w:hanging="216"/>
        <w:rPr>
          <w:rFonts w:hAnsi="ＭＳ 明朝"/>
          <w:szCs w:val="21"/>
        </w:rPr>
      </w:pPr>
      <w:r w:rsidRPr="00D43090">
        <w:rPr>
          <w:rFonts w:hAnsi="ＭＳ 明朝" w:hint="eastAsia"/>
          <w:szCs w:val="21"/>
        </w:rPr>
        <w:t>・人の循環を促すような返礼品は、地域の魅力を再発見し、移住定住の足掛かりになるため、金銭類似性を排除する考慮の上、自治体のアイデア次第で進めてもよい。</w:t>
      </w:r>
    </w:p>
    <w:p w:rsidR="00B55BC3" w:rsidRPr="00D43090" w:rsidRDefault="00B55BC3" w:rsidP="00B55BC3">
      <w:pPr>
        <w:autoSpaceDE w:val="0"/>
        <w:autoSpaceDN w:val="0"/>
        <w:ind w:leftChars="100" w:left="432" w:hangingChars="100" w:hanging="216"/>
        <w:rPr>
          <w:rFonts w:hAnsi="ＭＳ 明朝"/>
          <w:szCs w:val="21"/>
        </w:rPr>
      </w:pPr>
      <w:r w:rsidRPr="00D43090">
        <w:rPr>
          <w:rFonts w:hAnsi="ＭＳ 明朝" w:hint="eastAsia"/>
          <w:szCs w:val="21"/>
        </w:rPr>
        <w:t>・返礼品がなければ、制度がここまで定着し、活用されることは無かったと思われ、また地方の特産品のＰＲや振興に資している効果も無視すべきではない。一方で、派生したポータルサイトは、ふるさと納税を実質的に通販化しており、またポイント制度は経済的利益化を引き起こしている。ただし、ポータルサイトは、災害時等におけるふるさと納税のインフラとしても機能していることには留意が必要。</w:t>
      </w:r>
    </w:p>
    <w:p w:rsidR="00B55BC3" w:rsidRPr="00D43090" w:rsidRDefault="00B55BC3" w:rsidP="00B55BC3">
      <w:pPr>
        <w:autoSpaceDE w:val="0"/>
        <w:autoSpaceDN w:val="0"/>
        <w:ind w:leftChars="100" w:left="432" w:hangingChars="100" w:hanging="216"/>
        <w:rPr>
          <w:rFonts w:hAnsi="ＭＳ 明朝"/>
          <w:szCs w:val="21"/>
        </w:rPr>
      </w:pPr>
      <w:r w:rsidRPr="00D43090">
        <w:rPr>
          <w:rFonts w:hAnsi="ＭＳ 明朝" w:hint="eastAsia"/>
          <w:szCs w:val="21"/>
        </w:rPr>
        <w:t>・返礼品を通じて、ブランド化されていない特産品を知るきっかけとなるとともに、地域や生産者とのつながりを実感できる効果がある。ただし、特産品生産者は、ふるさと納税はきっかけでしかないことをよく認識し、返礼品に頼るのではなく、販路拡大等に取り組む姿勢が重要。</w:t>
      </w:r>
    </w:p>
    <w:p w:rsidR="00B55BC3" w:rsidRPr="00D43090" w:rsidRDefault="00B55BC3" w:rsidP="00B55BC3">
      <w:pPr>
        <w:autoSpaceDE w:val="0"/>
        <w:autoSpaceDN w:val="0"/>
        <w:rPr>
          <w:rFonts w:hAnsi="ＭＳ 明朝"/>
          <w:szCs w:val="21"/>
        </w:rPr>
      </w:pPr>
      <w:r w:rsidRPr="00D43090">
        <w:rPr>
          <w:rFonts w:hAnsi="ＭＳ 明朝" w:hint="eastAsia"/>
          <w:szCs w:val="21"/>
        </w:rPr>
        <w:t>などという意見が紹介されています。ふるさと納税は、返礼品が特産品の試供品としての役割を果たすことにより、当初の意図を超えて、地域活性化に大きな成果をあげています。</w:t>
      </w:r>
    </w:p>
    <w:p w:rsidR="00B55BC3" w:rsidRPr="00D43090" w:rsidRDefault="00B55BC3" w:rsidP="00B55BC3">
      <w:pPr>
        <w:autoSpaceDE w:val="0"/>
        <w:autoSpaceDN w:val="0"/>
        <w:ind w:firstLineChars="100" w:firstLine="216"/>
        <w:rPr>
          <w:rFonts w:hAnsi="ＭＳ 明朝"/>
          <w:szCs w:val="21"/>
        </w:rPr>
      </w:pPr>
      <w:r w:rsidRPr="00D43090">
        <w:rPr>
          <w:rFonts w:hAnsi="ＭＳ 明朝" w:hint="eastAsia"/>
          <w:szCs w:val="21"/>
        </w:rPr>
        <w:t>ふるさと納税による収入は不安定ですから、社会福祉のような自治体の収入が減っても給付を削減できない支出に用いることはできません。これに対し試供品の場合、自治体が地元業者から購入し、ふるさと納税者に対して配布するということは、地元の業者にとって売り上げが立つだけでなく、ふるさと納税のリピートも期待できますし、さらに業者の新規顧客の開拓につながれば、きわめて費用対効果の高い産業振興策となります。ふるさと納税の３割を返礼品に充当したとしても、自治体の負担はこれを下回るはずです。</w:t>
      </w:r>
    </w:p>
    <w:p w:rsidR="00B55BC3" w:rsidRPr="00D43090" w:rsidRDefault="00B55BC3" w:rsidP="00B55BC3">
      <w:pPr>
        <w:autoSpaceDE w:val="0"/>
        <w:autoSpaceDN w:val="0"/>
        <w:ind w:firstLineChars="100" w:firstLine="216"/>
        <w:rPr>
          <w:rFonts w:hAnsi="ＭＳ 明朝"/>
          <w:szCs w:val="21"/>
        </w:rPr>
      </w:pPr>
      <w:r w:rsidRPr="00D43090">
        <w:rPr>
          <w:rFonts w:hAnsi="ＭＳ 明朝" w:hint="eastAsia"/>
          <w:szCs w:val="21"/>
        </w:rPr>
        <w:t>現在、ふるさと納税を受けた自治体は、ふるさと納税額全額を使えるのに対し、住民がふるさと納税を行った自治体の減収は、ふるさと納税額の７割程度です（その差である３割の大部分は、所得税控除のため国の負担）。住民がふるさと納税を行った自治体では、その７割が減収となるものの、返礼品が３割であれば、３割は住民の懐に戻ってくることになり、住民にとって実質的な減税となります。</w:t>
      </w:r>
    </w:p>
    <w:p w:rsidR="00B55BC3" w:rsidRPr="00D43090" w:rsidRDefault="00B55BC3" w:rsidP="00B55BC3">
      <w:pPr>
        <w:autoSpaceDE w:val="0"/>
        <w:autoSpaceDN w:val="0"/>
        <w:rPr>
          <w:rFonts w:hAnsi="ＭＳ 明朝"/>
          <w:szCs w:val="21"/>
        </w:rPr>
      </w:pPr>
    </w:p>
    <w:p w:rsidR="00B55BC3" w:rsidRPr="00D43090" w:rsidRDefault="00B55BC3" w:rsidP="00B55BC3">
      <w:pPr>
        <w:autoSpaceDE w:val="0"/>
        <w:autoSpaceDN w:val="0"/>
        <w:rPr>
          <w:rFonts w:hAnsi="ＭＳ 明朝"/>
          <w:szCs w:val="21"/>
        </w:rPr>
      </w:pPr>
      <w:r w:rsidRPr="00D43090">
        <w:rPr>
          <w:rFonts w:hAnsi="ＭＳ 明朝" w:hint="eastAsia"/>
          <w:szCs w:val="21"/>
        </w:rPr>
        <w:t>（大都市圏の自治体財政への影響）</w:t>
      </w:r>
    </w:p>
    <w:p w:rsidR="00B55BC3" w:rsidRPr="00D43090" w:rsidRDefault="00B55BC3" w:rsidP="00B55BC3">
      <w:pPr>
        <w:autoSpaceDE w:val="0"/>
        <w:autoSpaceDN w:val="0"/>
        <w:ind w:firstLineChars="100" w:firstLine="216"/>
        <w:rPr>
          <w:rFonts w:hAnsi="ＭＳ 明朝"/>
          <w:szCs w:val="21"/>
        </w:rPr>
      </w:pPr>
      <w:r w:rsidRPr="00D43090">
        <w:rPr>
          <w:rFonts w:hAnsi="ＭＳ 明朝" w:hint="eastAsia"/>
          <w:szCs w:val="21"/>
        </w:rPr>
        <w:t>もともと大都市圏の自治体と地方の自治体との税収格差が背景としてあり、ふるさと納税は直接的にはその是正を謳っていないものの、大都市圏から地方への税収の移転をめざしたものであることは間違いありません。そうしたことからすれば、大都市圏の自治体財政に一定の影響を与えることは否定できません。しかしながら、2019年度課税において、東京都および東京都の区市町村のふるさと納税による減収額は868億円ですが、東京都および東京都の区市町村の一般会計・普通会計の歳出総額は約12.6兆円（2018年度決算）なので、ふるさと納税の影響は、一般会計・普通会計歳出の約0.7％ということになります</w:t>
      </w:r>
      <w:r>
        <w:rPr>
          <w:rFonts w:hAnsi="ＭＳ 明朝" w:hint="eastAsia"/>
          <w:szCs w:val="21"/>
        </w:rPr>
        <w:t>。</w:t>
      </w:r>
    </w:p>
    <w:p w:rsidR="007A6050" w:rsidRDefault="007A6050">
      <w:pPr>
        <w:widowControl/>
        <w:jc w:val="left"/>
        <w:rPr>
          <w:rFonts w:hAnsi="ＭＳ 明朝"/>
          <w:szCs w:val="21"/>
        </w:rPr>
      </w:pPr>
      <w:r>
        <w:rPr>
          <w:rFonts w:hAnsi="ＭＳ 明朝"/>
          <w:szCs w:val="21"/>
        </w:rPr>
        <w:br w:type="page"/>
      </w:r>
    </w:p>
    <w:p w:rsidR="00B55BC3" w:rsidRPr="00D43090" w:rsidRDefault="00B55BC3" w:rsidP="00B55BC3">
      <w:pPr>
        <w:pBdr>
          <w:top w:val="single" w:sz="4" w:space="1" w:color="auto"/>
          <w:left w:val="single" w:sz="4" w:space="1" w:color="auto"/>
          <w:bottom w:val="single" w:sz="4" w:space="1" w:color="auto"/>
          <w:right w:val="single" w:sz="4" w:space="1" w:color="auto"/>
        </w:pBdr>
        <w:autoSpaceDE w:val="0"/>
        <w:autoSpaceDN w:val="0"/>
        <w:rPr>
          <w:rFonts w:ascii="ＭＳ ゴシック" w:eastAsia="ＭＳ ゴシック" w:hAnsi="ＭＳ ゴシック"/>
          <w:sz w:val="22"/>
          <w:szCs w:val="22"/>
        </w:rPr>
      </w:pPr>
      <w:bookmarkStart w:id="0" w:name="_GoBack"/>
      <w:bookmarkEnd w:id="0"/>
      <w:r w:rsidRPr="00D43090">
        <w:rPr>
          <w:rFonts w:ascii="ＭＳ ゴシック" w:eastAsia="ＭＳ ゴシック" w:hAnsi="ＭＳ ゴシック" w:hint="eastAsia"/>
          <w:sz w:val="22"/>
          <w:szCs w:val="22"/>
        </w:rPr>
        <w:t>＜労働組合としての活動＞</w:t>
      </w:r>
    </w:p>
    <w:p w:rsidR="00B55BC3" w:rsidRPr="00D43090" w:rsidRDefault="00B55BC3" w:rsidP="00B55BC3">
      <w:pPr>
        <w:pBdr>
          <w:top w:val="single" w:sz="4" w:space="1" w:color="auto"/>
          <w:left w:val="single" w:sz="4" w:space="1" w:color="auto"/>
          <w:bottom w:val="single" w:sz="4" w:space="1" w:color="auto"/>
          <w:right w:val="single" w:sz="4" w:space="1" w:color="auto"/>
        </w:pBdr>
        <w:autoSpaceDE w:val="0"/>
        <w:autoSpaceDN w:val="0"/>
        <w:rPr>
          <w:rFonts w:ascii="ＭＳ ゴシック" w:eastAsia="ＭＳ ゴシック" w:hAnsi="ＭＳ ゴシック"/>
          <w:sz w:val="22"/>
          <w:szCs w:val="22"/>
        </w:rPr>
      </w:pPr>
      <w:r w:rsidRPr="00D43090">
        <w:rPr>
          <mc:AlternateContent>
            <mc:Choice Requires="w16se">
              <w:rFonts w:ascii="ＭＳ ゴシック" w:eastAsia="ＭＳ ゴシック" w:hAnsi="ＭＳ ゴシック" w:hint="eastAsia"/>
            </mc:Choice>
            <mc:Fallback>
              <w:rFonts w:hAnsi="ＭＳ 明朝" w:cs="ＭＳ 明朝" w:hint="eastAsia"/>
            </mc:Fallback>
          </mc:AlternateContent>
          <w:sz w:val="22"/>
          <w:szCs w:val="22"/>
        </w:rPr>
        <mc:AlternateContent>
          <mc:Choice Requires="w16se">
            <w16se:symEx w16se:font="ＭＳ 明朝" w16se:char="2468"/>
          </mc:Choice>
          <mc:Fallback>
            <w:t>⑨</w:t>
          </mc:Fallback>
        </mc:AlternateContent>
      </w:r>
      <w:r w:rsidRPr="00D43090">
        <w:rPr>
          <w:rFonts w:ascii="ＭＳ ゴシック" w:eastAsia="ＭＳ ゴシック" w:hAnsi="ＭＳ ゴシック" w:hint="eastAsia"/>
          <w:sz w:val="22"/>
          <w:szCs w:val="22"/>
        </w:rPr>
        <w:t>ものづくり教室の開催</w:t>
      </w:r>
    </w:p>
    <w:p w:rsidR="00B55BC3" w:rsidRPr="00D43090" w:rsidRDefault="00B55BC3" w:rsidP="00B55BC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地方連合会金属部門連絡会など金属の都道府県別組織を中心に、組合員・ＯＢの参画を募り、小学生などを対象とする「ものづくり教室」を開催する。プログラミングなども含めた工作についても、検討する。</w:t>
      </w:r>
    </w:p>
    <w:p w:rsidR="00B55BC3" w:rsidRDefault="00B55BC3" w:rsidP="00B55BC3">
      <w:pPr>
        <w:autoSpaceDE w:val="0"/>
        <w:autoSpaceDN w:val="0"/>
        <w:rPr>
          <w:rFonts w:asciiTheme="majorEastAsia" w:eastAsiaTheme="majorEastAsia" w:hAnsiTheme="majorEastAsia"/>
          <w:szCs w:val="21"/>
        </w:rPr>
      </w:pPr>
    </w:p>
    <w:p w:rsidR="00B55BC3" w:rsidRPr="00D43090" w:rsidRDefault="00B55BC3" w:rsidP="00B55BC3">
      <w:pPr>
        <w:autoSpaceDE w:val="0"/>
        <w:autoSpaceDN w:val="0"/>
        <w:rPr>
          <w:rFonts w:asciiTheme="majorEastAsia" w:eastAsiaTheme="majorEastAsia" w:hAnsiTheme="majorEastAsia"/>
          <w:szCs w:val="21"/>
        </w:rPr>
      </w:pPr>
      <w:r w:rsidRPr="00D43090">
        <w:rPr>
          <mc:AlternateContent>
            <mc:Choice Requires="w16se">
              <w:rFonts w:asciiTheme="majorEastAsia" w:eastAsiaTheme="majorEastAsia" w:hAnsiTheme="majorEastAsia" w:hint="eastAsia"/>
            </mc:Choice>
            <mc:Fallback>
              <w:rFonts w:hAnsi="ＭＳ 明朝" w:cs="ＭＳ 明朝" w:hint="eastAsia"/>
            </mc:Fallback>
          </mc:AlternateContent>
          <w:szCs w:val="21"/>
        </w:rPr>
        <mc:AlternateContent>
          <mc:Choice Requires="w16se">
            <w16se:symEx w16se:font="ＭＳ 明朝" w16se:char="279D"/>
          </mc:Choice>
          <mc:Fallback>
            <w:t>➝</w:t>
          </mc:Fallback>
        </mc:AlternateContent>
      </w:r>
      <w:r w:rsidRPr="00D43090">
        <w:rPr>
          <w:rFonts w:asciiTheme="majorEastAsia" w:eastAsiaTheme="majorEastAsia" w:hAnsiTheme="majorEastAsia" w:hint="eastAsia"/>
          <w:szCs w:val="21"/>
        </w:rPr>
        <w:t xml:space="preserve">　背景説明</w:t>
      </w:r>
    </w:p>
    <w:p w:rsidR="00B55BC3" w:rsidRPr="00D43090" w:rsidRDefault="00B55BC3" w:rsidP="00B55BC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ひところ若者の理工系離れが指摘されていましたが、地方自治体や専門家が開催する工作教室、実験教室は活況を呈しており、ものづくりや科学に対する子どもたちの興味が薄れているわけではないことがわかります。ものづくりの魅力を子どもたちに伝えるために、金属労協が2003年に開始した小学生などを対象とする「ものづくり教室」は、いまやほとんどの都道府県の金属の労働組合で毎年開催されるところとなっています。一般的に、自治体などが開催するものづくり教室は、木工などが多く、金属を使用したもの、機械の組み立てなどは多くないことから、金属の労働組合の地方組織を中心とした「ものづくり教室」を継続的に展開していくことが重要です。また、小学校は2020年度からプログラミング教育が必修化されており、労働組合が主催する「ものづくり教室」においても、プログラミングなどの要素を取り入れることも考えられます。</w:t>
      </w:r>
    </w:p>
    <w:p w:rsidR="00B55BC3" w:rsidRPr="00E333A0" w:rsidRDefault="00B55BC3" w:rsidP="00B55BC3">
      <w:pPr>
        <w:widowControl/>
        <w:jc w:val="center"/>
        <w:rPr>
          <w:rFonts w:asciiTheme="minorEastAsia" w:eastAsiaTheme="minorEastAsia" w:hAnsiTheme="minorEastAsia"/>
        </w:rPr>
      </w:pPr>
      <w:r w:rsidRPr="00A8441B">
        <w:rPr>
          <w:noProof/>
        </w:rPr>
        <w:drawing>
          <wp:inline distT="0" distB="0" distL="0" distR="0" wp14:anchorId="030EF420" wp14:editId="6FB81516">
            <wp:extent cx="4395240" cy="5713560"/>
            <wp:effectExtent l="0" t="0" r="5715" b="190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5240" cy="5713560"/>
                    </a:xfrm>
                    <a:prstGeom prst="rect">
                      <a:avLst/>
                    </a:prstGeom>
                    <a:noFill/>
                    <a:ln>
                      <a:noFill/>
                    </a:ln>
                  </pic:spPr>
                </pic:pic>
              </a:graphicData>
            </a:graphic>
          </wp:inline>
        </w:drawing>
      </w:r>
    </w:p>
    <w:sectPr w:rsidR="00B55BC3" w:rsidRPr="00E333A0" w:rsidSect="002948E1">
      <w:footerReference w:type="even" r:id="rId16"/>
      <w:footerReference w:type="default" r:id="rId17"/>
      <w:footerReference w:type="first" r:id="rId18"/>
      <w:pgSz w:w="11906" w:h="16838" w:code="9"/>
      <w:pgMar w:top="1418" w:right="1418" w:bottom="1418" w:left="1418" w:header="851" w:footer="567" w:gutter="0"/>
      <w:pgNumType w:fmt="numberInDash"/>
      <w:cols w:space="425"/>
      <w:titlePg/>
      <w:docGrid w:type="linesAndChars" w:linePitch="368" w:charSpace="121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7A1D" w:rsidRDefault="00097A1D">
      <w:r>
        <w:separator/>
      </w:r>
    </w:p>
  </w:endnote>
  <w:endnote w:type="continuationSeparator" w:id="0">
    <w:p w:rsidR="00097A1D" w:rsidRDefault="00097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A1D" w:rsidRDefault="00097A1D" w:rsidP="00C7416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97A1D" w:rsidRDefault="00097A1D">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0454217"/>
      <w:docPartObj>
        <w:docPartGallery w:val="Page Numbers (Bottom of Page)"/>
        <w:docPartUnique/>
      </w:docPartObj>
    </w:sdtPr>
    <w:sdtEndPr/>
    <w:sdtContent>
      <w:p w:rsidR="00097A1D" w:rsidRDefault="00097A1D">
        <w:pPr>
          <w:pStyle w:val="a3"/>
          <w:jc w:val="center"/>
        </w:pPr>
        <w:r>
          <w:fldChar w:fldCharType="begin"/>
        </w:r>
        <w:r>
          <w:instrText>PAGE   \* MERGEFORMAT</w:instrText>
        </w:r>
        <w:r>
          <w:fldChar w:fldCharType="separate"/>
        </w:r>
        <w:r w:rsidR="007A6050" w:rsidRPr="007A6050">
          <w:rPr>
            <w:noProof/>
            <w:lang w:val="ja-JP"/>
          </w:rPr>
          <w:t>-</w:t>
        </w:r>
        <w:r w:rsidR="007A6050">
          <w:rPr>
            <w:noProof/>
          </w:rPr>
          <w:t xml:space="preserve"> 13 -</w:t>
        </w:r>
        <w:r>
          <w:fldChar w:fldCharType="end"/>
        </w:r>
      </w:p>
    </w:sdtContent>
  </w:sdt>
  <w:p w:rsidR="00097A1D" w:rsidRDefault="00097A1D">
    <w:pPr>
      <w:pStyle w:val="a3"/>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9852847"/>
      <w:docPartObj>
        <w:docPartGallery w:val="Page Numbers (Bottom of Page)"/>
        <w:docPartUnique/>
      </w:docPartObj>
    </w:sdtPr>
    <w:sdtEndPr/>
    <w:sdtContent>
      <w:p w:rsidR="00097A1D" w:rsidRDefault="00097A1D">
        <w:pPr>
          <w:pStyle w:val="a3"/>
          <w:jc w:val="center"/>
        </w:pPr>
        <w:r>
          <w:fldChar w:fldCharType="begin"/>
        </w:r>
        <w:r>
          <w:instrText>PAGE   \* MERGEFORMAT</w:instrText>
        </w:r>
        <w:r>
          <w:fldChar w:fldCharType="separate"/>
        </w:r>
        <w:r w:rsidR="007A6050" w:rsidRPr="007A6050">
          <w:rPr>
            <w:noProof/>
            <w:lang w:val="ja-JP"/>
          </w:rPr>
          <w:t>-</w:t>
        </w:r>
        <w:r w:rsidR="007A6050">
          <w:rPr>
            <w:noProof/>
          </w:rPr>
          <w:t xml:space="preserve"> 1 -</w:t>
        </w:r>
        <w:r>
          <w:fldChar w:fldCharType="end"/>
        </w:r>
      </w:p>
    </w:sdtContent>
  </w:sdt>
  <w:p w:rsidR="00097A1D" w:rsidRDefault="00097A1D">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7A1D" w:rsidRDefault="00097A1D">
      <w:r>
        <w:separator/>
      </w:r>
    </w:p>
  </w:footnote>
  <w:footnote w:type="continuationSeparator" w:id="0">
    <w:p w:rsidR="00097A1D" w:rsidRDefault="00097A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6F40EB"/>
    <w:multiLevelType w:val="multilevel"/>
    <w:tmpl w:val="566CCD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8"/>
  <w:drawingGridVerticalSpacing w:val="184"/>
  <w:displayHorizontalDrawingGridEvery w:val="0"/>
  <w:displayVerticalDrawingGridEvery w:val="2"/>
  <w:characterSpacingControl w:val="compressPunctuation"/>
  <w:hdrShapeDefaults>
    <o:shapedefaults v:ext="edit" spidmax="665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AE4"/>
    <w:rsid w:val="00002E79"/>
    <w:rsid w:val="00013A4C"/>
    <w:rsid w:val="00014411"/>
    <w:rsid w:val="00024087"/>
    <w:rsid w:val="000272A6"/>
    <w:rsid w:val="000276E4"/>
    <w:rsid w:val="00043BE9"/>
    <w:rsid w:val="000460DE"/>
    <w:rsid w:val="00046115"/>
    <w:rsid w:val="00047336"/>
    <w:rsid w:val="0005008A"/>
    <w:rsid w:val="0005492C"/>
    <w:rsid w:val="00055F60"/>
    <w:rsid w:val="00065B47"/>
    <w:rsid w:val="0006749D"/>
    <w:rsid w:val="00070F4F"/>
    <w:rsid w:val="00074EA3"/>
    <w:rsid w:val="00077FF0"/>
    <w:rsid w:val="0008470D"/>
    <w:rsid w:val="00086470"/>
    <w:rsid w:val="00093EA3"/>
    <w:rsid w:val="00097A1D"/>
    <w:rsid w:val="000A4B09"/>
    <w:rsid w:val="000B2EC4"/>
    <w:rsid w:val="000B7EAF"/>
    <w:rsid w:val="000C0C07"/>
    <w:rsid w:val="000C61BE"/>
    <w:rsid w:val="000D14EA"/>
    <w:rsid w:val="000D5D5C"/>
    <w:rsid w:val="000E17AB"/>
    <w:rsid w:val="000E4FEF"/>
    <w:rsid w:val="000E661E"/>
    <w:rsid w:val="000F1219"/>
    <w:rsid w:val="001012E1"/>
    <w:rsid w:val="00103146"/>
    <w:rsid w:val="001044F1"/>
    <w:rsid w:val="00104E94"/>
    <w:rsid w:val="00107DC1"/>
    <w:rsid w:val="0011041C"/>
    <w:rsid w:val="00114531"/>
    <w:rsid w:val="0011628B"/>
    <w:rsid w:val="0012204D"/>
    <w:rsid w:val="00123F66"/>
    <w:rsid w:val="0013023C"/>
    <w:rsid w:val="00132041"/>
    <w:rsid w:val="0013333E"/>
    <w:rsid w:val="00137AAF"/>
    <w:rsid w:val="00145744"/>
    <w:rsid w:val="00145858"/>
    <w:rsid w:val="00145D61"/>
    <w:rsid w:val="00146EB6"/>
    <w:rsid w:val="00153F46"/>
    <w:rsid w:val="001579E3"/>
    <w:rsid w:val="00162A68"/>
    <w:rsid w:val="001632CE"/>
    <w:rsid w:val="00176ED4"/>
    <w:rsid w:val="00177DA8"/>
    <w:rsid w:val="00181E77"/>
    <w:rsid w:val="00191B60"/>
    <w:rsid w:val="00191F3F"/>
    <w:rsid w:val="001A01E8"/>
    <w:rsid w:val="001A4A7E"/>
    <w:rsid w:val="001B4ACE"/>
    <w:rsid w:val="001D62EC"/>
    <w:rsid w:val="001D705F"/>
    <w:rsid w:val="001F153B"/>
    <w:rsid w:val="001F3111"/>
    <w:rsid w:val="0020416A"/>
    <w:rsid w:val="00206237"/>
    <w:rsid w:val="00210570"/>
    <w:rsid w:val="00212BCC"/>
    <w:rsid w:val="002231A3"/>
    <w:rsid w:val="0022461C"/>
    <w:rsid w:val="0022470E"/>
    <w:rsid w:val="00225396"/>
    <w:rsid w:val="00225C7A"/>
    <w:rsid w:val="00232735"/>
    <w:rsid w:val="00240DCF"/>
    <w:rsid w:val="0024426E"/>
    <w:rsid w:val="0024457F"/>
    <w:rsid w:val="00245CF4"/>
    <w:rsid w:val="00256310"/>
    <w:rsid w:val="00261411"/>
    <w:rsid w:val="0026478D"/>
    <w:rsid w:val="00286C58"/>
    <w:rsid w:val="00291242"/>
    <w:rsid w:val="002948E1"/>
    <w:rsid w:val="00297609"/>
    <w:rsid w:val="002A2188"/>
    <w:rsid w:val="002A3754"/>
    <w:rsid w:val="002B089A"/>
    <w:rsid w:val="002B73A1"/>
    <w:rsid w:val="002B7E2D"/>
    <w:rsid w:val="002D00CD"/>
    <w:rsid w:val="002D3132"/>
    <w:rsid w:val="002D3DFD"/>
    <w:rsid w:val="002D56B7"/>
    <w:rsid w:val="002E12DC"/>
    <w:rsid w:val="002E1DF1"/>
    <w:rsid w:val="002E45C7"/>
    <w:rsid w:val="003001A4"/>
    <w:rsid w:val="00300F75"/>
    <w:rsid w:val="00302052"/>
    <w:rsid w:val="00306A38"/>
    <w:rsid w:val="003117F0"/>
    <w:rsid w:val="00312FCE"/>
    <w:rsid w:val="00316E8B"/>
    <w:rsid w:val="00324BAE"/>
    <w:rsid w:val="00324CEA"/>
    <w:rsid w:val="00331F32"/>
    <w:rsid w:val="0034763B"/>
    <w:rsid w:val="00350A97"/>
    <w:rsid w:val="00360214"/>
    <w:rsid w:val="0036627F"/>
    <w:rsid w:val="00373581"/>
    <w:rsid w:val="003752FB"/>
    <w:rsid w:val="003754B4"/>
    <w:rsid w:val="00376712"/>
    <w:rsid w:val="00376C19"/>
    <w:rsid w:val="003834C9"/>
    <w:rsid w:val="00383A14"/>
    <w:rsid w:val="003A0D6F"/>
    <w:rsid w:val="003B5B29"/>
    <w:rsid w:val="003B7856"/>
    <w:rsid w:val="003C1BE8"/>
    <w:rsid w:val="003D2485"/>
    <w:rsid w:val="003D3FD3"/>
    <w:rsid w:val="003D7BB3"/>
    <w:rsid w:val="003E4B83"/>
    <w:rsid w:val="003F0B33"/>
    <w:rsid w:val="003F1110"/>
    <w:rsid w:val="003F24DC"/>
    <w:rsid w:val="003F6679"/>
    <w:rsid w:val="00401BC3"/>
    <w:rsid w:val="004037AA"/>
    <w:rsid w:val="004041A8"/>
    <w:rsid w:val="004053BB"/>
    <w:rsid w:val="0041111F"/>
    <w:rsid w:val="004168B6"/>
    <w:rsid w:val="004173F3"/>
    <w:rsid w:val="0041784D"/>
    <w:rsid w:val="004307CD"/>
    <w:rsid w:val="00431126"/>
    <w:rsid w:val="00433A71"/>
    <w:rsid w:val="004357B9"/>
    <w:rsid w:val="00436E37"/>
    <w:rsid w:val="00441BF4"/>
    <w:rsid w:val="004478EB"/>
    <w:rsid w:val="004529D4"/>
    <w:rsid w:val="00452FFE"/>
    <w:rsid w:val="004540FF"/>
    <w:rsid w:val="00455ECE"/>
    <w:rsid w:val="0045765B"/>
    <w:rsid w:val="00457B3E"/>
    <w:rsid w:val="0046099C"/>
    <w:rsid w:val="00461856"/>
    <w:rsid w:val="00473C3F"/>
    <w:rsid w:val="00476B59"/>
    <w:rsid w:val="0048413E"/>
    <w:rsid w:val="0048547B"/>
    <w:rsid w:val="00486999"/>
    <w:rsid w:val="00493DA4"/>
    <w:rsid w:val="004943C0"/>
    <w:rsid w:val="004A0B9B"/>
    <w:rsid w:val="004A4958"/>
    <w:rsid w:val="004A6F16"/>
    <w:rsid w:val="004B2463"/>
    <w:rsid w:val="004B4B57"/>
    <w:rsid w:val="004C3EDC"/>
    <w:rsid w:val="004D0ECC"/>
    <w:rsid w:val="004D7002"/>
    <w:rsid w:val="004E3236"/>
    <w:rsid w:val="004F6229"/>
    <w:rsid w:val="004F7A22"/>
    <w:rsid w:val="0050015F"/>
    <w:rsid w:val="00500BA4"/>
    <w:rsid w:val="005037AC"/>
    <w:rsid w:val="00504018"/>
    <w:rsid w:val="005057F9"/>
    <w:rsid w:val="005060F4"/>
    <w:rsid w:val="00512012"/>
    <w:rsid w:val="00513163"/>
    <w:rsid w:val="00534DDF"/>
    <w:rsid w:val="00540BDF"/>
    <w:rsid w:val="00541699"/>
    <w:rsid w:val="0054227C"/>
    <w:rsid w:val="00543F71"/>
    <w:rsid w:val="005459EE"/>
    <w:rsid w:val="00550061"/>
    <w:rsid w:val="00562086"/>
    <w:rsid w:val="00564873"/>
    <w:rsid w:val="0057158F"/>
    <w:rsid w:val="005722BF"/>
    <w:rsid w:val="00581EEA"/>
    <w:rsid w:val="005833CD"/>
    <w:rsid w:val="005A0C91"/>
    <w:rsid w:val="005A3900"/>
    <w:rsid w:val="005B799C"/>
    <w:rsid w:val="005C012F"/>
    <w:rsid w:val="005D0B1C"/>
    <w:rsid w:val="005D13E6"/>
    <w:rsid w:val="005D6747"/>
    <w:rsid w:val="005D6C44"/>
    <w:rsid w:val="005D7952"/>
    <w:rsid w:val="005D7FC9"/>
    <w:rsid w:val="005E0C9C"/>
    <w:rsid w:val="005E2934"/>
    <w:rsid w:val="005E541A"/>
    <w:rsid w:val="005E793E"/>
    <w:rsid w:val="005F4FAC"/>
    <w:rsid w:val="005F7A42"/>
    <w:rsid w:val="00605AB6"/>
    <w:rsid w:val="00611C8C"/>
    <w:rsid w:val="00615569"/>
    <w:rsid w:val="00627A6C"/>
    <w:rsid w:val="006308E5"/>
    <w:rsid w:val="00633FA7"/>
    <w:rsid w:val="00641B13"/>
    <w:rsid w:val="00644524"/>
    <w:rsid w:val="006539B8"/>
    <w:rsid w:val="00662109"/>
    <w:rsid w:val="00670BCE"/>
    <w:rsid w:val="00675A00"/>
    <w:rsid w:val="0068001A"/>
    <w:rsid w:val="00680649"/>
    <w:rsid w:val="00685E27"/>
    <w:rsid w:val="00687B95"/>
    <w:rsid w:val="006917E4"/>
    <w:rsid w:val="00692B2B"/>
    <w:rsid w:val="006B07BD"/>
    <w:rsid w:val="006B1430"/>
    <w:rsid w:val="006C68BA"/>
    <w:rsid w:val="006D1FEE"/>
    <w:rsid w:val="006E00A8"/>
    <w:rsid w:val="006E011E"/>
    <w:rsid w:val="006E037F"/>
    <w:rsid w:val="006E0DF6"/>
    <w:rsid w:val="006E2243"/>
    <w:rsid w:val="006F61C3"/>
    <w:rsid w:val="006F7F55"/>
    <w:rsid w:val="00702D0A"/>
    <w:rsid w:val="00705F9E"/>
    <w:rsid w:val="0070665C"/>
    <w:rsid w:val="00714FDD"/>
    <w:rsid w:val="0071602F"/>
    <w:rsid w:val="00717801"/>
    <w:rsid w:val="00725F01"/>
    <w:rsid w:val="0072783E"/>
    <w:rsid w:val="00727891"/>
    <w:rsid w:val="0073360C"/>
    <w:rsid w:val="007364DC"/>
    <w:rsid w:val="007443C8"/>
    <w:rsid w:val="0074569E"/>
    <w:rsid w:val="007537BC"/>
    <w:rsid w:val="007542FA"/>
    <w:rsid w:val="0075633E"/>
    <w:rsid w:val="00761AE4"/>
    <w:rsid w:val="00765E73"/>
    <w:rsid w:val="00767327"/>
    <w:rsid w:val="00770BB0"/>
    <w:rsid w:val="00771EA4"/>
    <w:rsid w:val="00775128"/>
    <w:rsid w:val="00775E35"/>
    <w:rsid w:val="00777C84"/>
    <w:rsid w:val="00781AF1"/>
    <w:rsid w:val="0078401B"/>
    <w:rsid w:val="0079573E"/>
    <w:rsid w:val="007A43D6"/>
    <w:rsid w:val="007A4ED0"/>
    <w:rsid w:val="007A6050"/>
    <w:rsid w:val="007B2A6E"/>
    <w:rsid w:val="007B77A5"/>
    <w:rsid w:val="007D267C"/>
    <w:rsid w:val="007D42DE"/>
    <w:rsid w:val="007D4ADE"/>
    <w:rsid w:val="007D765F"/>
    <w:rsid w:val="007E1D82"/>
    <w:rsid w:val="007E4B5A"/>
    <w:rsid w:val="007F60DE"/>
    <w:rsid w:val="007F79CC"/>
    <w:rsid w:val="0080052A"/>
    <w:rsid w:val="0080361F"/>
    <w:rsid w:val="00803636"/>
    <w:rsid w:val="008060A7"/>
    <w:rsid w:val="00820732"/>
    <w:rsid w:val="00821376"/>
    <w:rsid w:val="0085257E"/>
    <w:rsid w:val="00852DEF"/>
    <w:rsid w:val="00853F28"/>
    <w:rsid w:val="0085410E"/>
    <w:rsid w:val="008570AE"/>
    <w:rsid w:val="008644AB"/>
    <w:rsid w:val="00864BD6"/>
    <w:rsid w:val="00865758"/>
    <w:rsid w:val="00866FD9"/>
    <w:rsid w:val="00870021"/>
    <w:rsid w:val="00884AD7"/>
    <w:rsid w:val="00890547"/>
    <w:rsid w:val="00891504"/>
    <w:rsid w:val="00893F1A"/>
    <w:rsid w:val="00895CAA"/>
    <w:rsid w:val="008A3503"/>
    <w:rsid w:val="008A57FB"/>
    <w:rsid w:val="008A7F68"/>
    <w:rsid w:val="008B28AD"/>
    <w:rsid w:val="008B33C3"/>
    <w:rsid w:val="008B4722"/>
    <w:rsid w:val="008C3060"/>
    <w:rsid w:val="008C3851"/>
    <w:rsid w:val="008C4F43"/>
    <w:rsid w:val="008C7809"/>
    <w:rsid w:val="008E1AE3"/>
    <w:rsid w:val="008E30F8"/>
    <w:rsid w:val="008F32EC"/>
    <w:rsid w:val="008F446E"/>
    <w:rsid w:val="008F4481"/>
    <w:rsid w:val="008F7395"/>
    <w:rsid w:val="0090024A"/>
    <w:rsid w:val="00901F43"/>
    <w:rsid w:val="00902D10"/>
    <w:rsid w:val="009049BC"/>
    <w:rsid w:val="00907DF9"/>
    <w:rsid w:val="00925CBD"/>
    <w:rsid w:val="009312DC"/>
    <w:rsid w:val="009329D4"/>
    <w:rsid w:val="00947B3B"/>
    <w:rsid w:val="009515F1"/>
    <w:rsid w:val="00962A68"/>
    <w:rsid w:val="0096373C"/>
    <w:rsid w:val="00964971"/>
    <w:rsid w:val="00967473"/>
    <w:rsid w:val="00970BE6"/>
    <w:rsid w:val="00973583"/>
    <w:rsid w:val="00976636"/>
    <w:rsid w:val="00977D75"/>
    <w:rsid w:val="0098096A"/>
    <w:rsid w:val="00987B2C"/>
    <w:rsid w:val="009925BB"/>
    <w:rsid w:val="009A46B9"/>
    <w:rsid w:val="009A5DA7"/>
    <w:rsid w:val="009A7904"/>
    <w:rsid w:val="009B6477"/>
    <w:rsid w:val="009D59CE"/>
    <w:rsid w:val="009E2D92"/>
    <w:rsid w:val="009F1DCA"/>
    <w:rsid w:val="00A03A5B"/>
    <w:rsid w:val="00A06D71"/>
    <w:rsid w:val="00A12764"/>
    <w:rsid w:val="00A23DF2"/>
    <w:rsid w:val="00A33290"/>
    <w:rsid w:val="00A37070"/>
    <w:rsid w:val="00A3733F"/>
    <w:rsid w:val="00A37AFE"/>
    <w:rsid w:val="00A40489"/>
    <w:rsid w:val="00A41C3B"/>
    <w:rsid w:val="00A571C0"/>
    <w:rsid w:val="00A63E92"/>
    <w:rsid w:val="00A67A0B"/>
    <w:rsid w:val="00A67E29"/>
    <w:rsid w:val="00A70C0D"/>
    <w:rsid w:val="00A71B01"/>
    <w:rsid w:val="00A721B1"/>
    <w:rsid w:val="00A751F3"/>
    <w:rsid w:val="00A81987"/>
    <w:rsid w:val="00A9172B"/>
    <w:rsid w:val="00A92E02"/>
    <w:rsid w:val="00A96B16"/>
    <w:rsid w:val="00AA2289"/>
    <w:rsid w:val="00AA6CCD"/>
    <w:rsid w:val="00AB26FE"/>
    <w:rsid w:val="00AB27D8"/>
    <w:rsid w:val="00AC0D51"/>
    <w:rsid w:val="00AC3265"/>
    <w:rsid w:val="00AD09E3"/>
    <w:rsid w:val="00AD0FC2"/>
    <w:rsid w:val="00AD4376"/>
    <w:rsid w:val="00AE3B62"/>
    <w:rsid w:val="00AE4AB4"/>
    <w:rsid w:val="00AF2920"/>
    <w:rsid w:val="00AF2ED6"/>
    <w:rsid w:val="00AF39B2"/>
    <w:rsid w:val="00AF39E1"/>
    <w:rsid w:val="00B02064"/>
    <w:rsid w:val="00B2095F"/>
    <w:rsid w:val="00B20B93"/>
    <w:rsid w:val="00B2330F"/>
    <w:rsid w:val="00B23D1E"/>
    <w:rsid w:val="00B2728E"/>
    <w:rsid w:val="00B309B8"/>
    <w:rsid w:val="00B3129A"/>
    <w:rsid w:val="00B32B36"/>
    <w:rsid w:val="00B32F01"/>
    <w:rsid w:val="00B35184"/>
    <w:rsid w:val="00B36E3C"/>
    <w:rsid w:val="00B37D93"/>
    <w:rsid w:val="00B4120D"/>
    <w:rsid w:val="00B507ED"/>
    <w:rsid w:val="00B55BC3"/>
    <w:rsid w:val="00B5719F"/>
    <w:rsid w:val="00B57A3B"/>
    <w:rsid w:val="00B60B08"/>
    <w:rsid w:val="00B646C1"/>
    <w:rsid w:val="00B71282"/>
    <w:rsid w:val="00B7413D"/>
    <w:rsid w:val="00B775CB"/>
    <w:rsid w:val="00B808CF"/>
    <w:rsid w:val="00B8208C"/>
    <w:rsid w:val="00B83381"/>
    <w:rsid w:val="00B83B4F"/>
    <w:rsid w:val="00B9698F"/>
    <w:rsid w:val="00BA0325"/>
    <w:rsid w:val="00BA0EDA"/>
    <w:rsid w:val="00BB1B19"/>
    <w:rsid w:val="00BB4E93"/>
    <w:rsid w:val="00BB4ECD"/>
    <w:rsid w:val="00BC0537"/>
    <w:rsid w:val="00BC0A0D"/>
    <w:rsid w:val="00BC14F3"/>
    <w:rsid w:val="00BC4FD5"/>
    <w:rsid w:val="00BC6167"/>
    <w:rsid w:val="00BD51F1"/>
    <w:rsid w:val="00BD6A96"/>
    <w:rsid w:val="00BD72E0"/>
    <w:rsid w:val="00BE055E"/>
    <w:rsid w:val="00BE2ED5"/>
    <w:rsid w:val="00BE4355"/>
    <w:rsid w:val="00BE7499"/>
    <w:rsid w:val="00BE7FE3"/>
    <w:rsid w:val="00BF0BB3"/>
    <w:rsid w:val="00BF0DA0"/>
    <w:rsid w:val="00BF1DC9"/>
    <w:rsid w:val="00BF258F"/>
    <w:rsid w:val="00BF317D"/>
    <w:rsid w:val="00BF3A59"/>
    <w:rsid w:val="00C0677E"/>
    <w:rsid w:val="00C14BF6"/>
    <w:rsid w:val="00C159F4"/>
    <w:rsid w:val="00C25977"/>
    <w:rsid w:val="00C26236"/>
    <w:rsid w:val="00C37DDE"/>
    <w:rsid w:val="00C4076B"/>
    <w:rsid w:val="00C4271E"/>
    <w:rsid w:val="00C43A41"/>
    <w:rsid w:val="00C44750"/>
    <w:rsid w:val="00C45631"/>
    <w:rsid w:val="00C45932"/>
    <w:rsid w:val="00C46D0F"/>
    <w:rsid w:val="00C551EB"/>
    <w:rsid w:val="00C55DFE"/>
    <w:rsid w:val="00C60523"/>
    <w:rsid w:val="00C66151"/>
    <w:rsid w:val="00C7213F"/>
    <w:rsid w:val="00C72570"/>
    <w:rsid w:val="00C7416B"/>
    <w:rsid w:val="00C75A7C"/>
    <w:rsid w:val="00C82559"/>
    <w:rsid w:val="00C8665C"/>
    <w:rsid w:val="00C94829"/>
    <w:rsid w:val="00CA3B0C"/>
    <w:rsid w:val="00CB4819"/>
    <w:rsid w:val="00CB64EF"/>
    <w:rsid w:val="00CC19B0"/>
    <w:rsid w:val="00CC3263"/>
    <w:rsid w:val="00CD44D4"/>
    <w:rsid w:val="00CD517D"/>
    <w:rsid w:val="00CE19A5"/>
    <w:rsid w:val="00CE5647"/>
    <w:rsid w:val="00CE65AC"/>
    <w:rsid w:val="00CF1966"/>
    <w:rsid w:val="00CF19C8"/>
    <w:rsid w:val="00D019EF"/>
    <w:rsid w:val="00D040DB"/>
    <w:rsid w:val="00D05200"/>
    <w:rsid w:val="00D07947"/>
    <w:rsid w:val="00D127AC"/>
    <w:rsid w:val="00D1310B"/>
    <w:rsid w:val="00D229EE"/>
    <w:rsid w:val="00D23D0C"/>
    <w:rsid w:val="00D240EE"/>
    <w:rsid w:val="00D319CB"/>
    <w:rsid w:val="00D33185"/>
    <w:rsid w:val="00D528D1"/>
    <w:rsid w:val="00D52BC5"/>
    <w:rsid w:val="00D536D4"/>
    <w:rsid w:val="00D55B0C"/>
    <w:rsid w:val="00D5633A"/>
    <w:rsid w:val="00D6419C"/>
    <w:rsid w:val="00D70026"/>
    <w:rsid w:val="00D712FA"/>
    <w:rsid w:val="00D8019C"/>
    <w:rsid w:val="00D819F3"/>
    <w:rsid w:val="00D85255"/>
    <w:rsid w:val="00D87820"/>
    <w:rsid w:val="00DA21A7"/>
    <w:rsid w:val="00DA64AD"/>
    <w:rsid w:val="00DC4C78"/>
    <w:rsid w:val="00DC4FB8"/>
    <w:rsid w:val="00DE79A8"/>
    <w:rsid w:val="00DF473F"/>
    <w:rsid w:val="00DF47F8"/>
    <w:rsid w:val="00DF7816"/>
    <w:rsid w:val="00E107EF"/>
    <w:rsid w:val="00E10D62"/>
    <w:rsid w:val="00E11CD0"/>
    <w:rsid w:val="00E12AC0"/>
    <w:rsid w:val="00E14CB1"/>
    <w:rsid w:val="00E16DEE"/>
    <w:rsid w:val="00E251B3"/>
    <w:rsid w:val="00E328E7"/>
    <w:rsid w:val="00E42C72"/>
    <w:rsid w:val="00E50668"/>
    <w:rsid w:val="00E5267B"/>
    <w:rsid w:val="00E545AA"/>
    <w:rsid w:val="00E76665"/>
    <w:rsid w:val="00EA2FD7"/>
    <w:rsid w:val="00EA4091"/>
    <w:rsid w:val="00EA7D6C"/>
    <w:rsid w:val="00EA7DF3"/>
    <w:rsid w:val="00EB03A4"/>
    <w:rsid w:val="00EB2746"/>
    <w:rsid w:val="00EC526A"/>
    <w:rsid w:val="00EC7A78"/>
    <w:rsid w:val="00ED61A5"/>
    <w:rsid w:val="00ED6DC3"/>
    <w:rsid w:val="00EE0CE8"/>
    <w:rsid w:val="00EE3A33"/>
    <w:rsid w:val="00EF2A48"/>
    <w:rsid w:val="00F10D44"/>
    <w:rsid w:val="00F10F80"/>
    <w:rsid w:val="00F1266D"/>
    <w:rsid w:val="00F1530C"/>
    <w:rsid w:val="00F23CE1"/>
    <w:rsid w:val="00F26EFA"/>
    <w:rsid w:val="00F31C65"/>
    <w:rsid w:val="00F32836"/>
    <w:rsid w:val="00F3330E"/>
    <w:rsid w:val="00F34582"/>
    <w:rsid w:val="00F441E7"/>
    <w:rsid w:val="00F455E6"/>
    <w:rsid w:val="00F51ED1"/>
    <w:rsid w:val="00F608BC"/>
    <w:rsid w:val="00F6760A"/>
    <w:rsid w:val="00F67E22"/>
    <w:rsid w:val="00F720DA"/>
    <w:rsid w:val="00F74E2C"/>
    <w:rsid w:val="00F81EA5"/>
    <w:rsid w:val="00F8670A"/>
    <w:rsid w:val="00F90D5E"/>
    <w:rsid w:val="00F94AFB"/>
    <w:rsid w:val="00F94CDA"/>
    <w:rsid w:val="00F95320"/>
    <w:rsid w:val="00F973F0"/>
    <w:rsid w:val="00FA0C8A"/>
    <w:rsid w:val="00FA15AA"/>
    <w:rsid w:val="00FA16E4"/>
    <w:rsid w:val="00FA24BC"/>
    <w:rsid w:val="00FA3680"/>
    <w:rsid w:val="00FA5468"/>
    <w:rsid w:val="00FB5423"/>
    <w:rsid w:val="00FB6451"/>
    <w:rsid w:val="00FB7E8C"/>
    <w:rsid w:val="00FC1353"/>
    <w:rsid w:val="00FC486D"/>
    <w:rsid w:val="00FC5526"/>
    <w:rsid w:val="00FD1A38"/>
    <w:rsid w:val="00FE0276"/>
    <w:rsid w:val="00FE266A"/>
    <w:rsid w:val="00FE440C"/>
    <w:rsid w:val="00FE4BF3"/>
    <w:rsid w:val="00FE7393"/>
    <w:rsid w:val="00FF14CA"/>
    <w:rsid w:val="00FF489C"/>
    <w:rsid w:val="00FF497D"/>
    <w:rsid w:val="00FF64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6561">
      <v:textbox inset="5.85pt,.7pt,5.85pt,.7pt"/>
    </o:shapedefaults>
    <o:shapelayout v:ext="edit">
      <o:idmap v:ext="edit" data="1"/>
    </o:shapelayout>
  </w:shapeDefaults>
  <w:decimalSymbol w:val="."/>
  <w:listSeparator w:val=","/>
  <w14:docId w14:val="70B75792"/>
  <w15:chartTrackingRefBased/>
  <w15:docId w15:val="{5C2BED45-6332-49F0-9FC3-35577AAF5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6636"/>
    <w:pPr>
      <w:widowControl w:val="0"/>
      <w:jc w:val="both"/>
    </w:pPr>
    <w:rPr>
      <w:rFonts w:ascii="ＭＳ 明朝"/>
      <w:kern w:val="2"/>
      <w:sz w:val="21"/>
      <w:szCs w:val="24"/>
    </w:rPr>
  </w:style>
  <w:style w:type="paragraph" w:styleId="2">
    <w:name w:val="heading 2"/>
    <w:basedOn w:val="a"/>
    <w:qFormat/>
    <w:rsid w:val="00CB4819"/>
    <w:pPr>
      <w:widowControl/>
      <w:jc w:val="left"/>
      <w:outlineLvl w:val="1"/>
    </w:pPr>
    <w:rPr>
      <w:rFonts w:ascii="ＭＳ Ｐゴシック" w:eastAsia="ＭＳ Ｐゴシック" w:hAnsi="ＭＳ Ｐゴシック" w:cs="ＭＳ Ｐゴシック"/>
      <w:b/>
      <w:bCs/>
      <w:kern w:val="0"/>
      <w:sz w:val="36"/>
      <w:szCs w:val="36"/>
    </w:rPr>
  </w:style>
  <w:style w:type="paragraph" w:styleId="3">
    <w:name w:val="heading 3"/>
    <w:basedOn w:val="a"/>
    <w:qFormat/>
    <w:rsid w:val="00CB4819"/>
    <w:pPr>
      <w:widowControl/>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252"/>
        <w:tab w:val="right" w:pos="8504"/>
      </w:tabs>
      <w:snapToGrid w:val="0"/>
    </w:pPr>
  </w:style>
  <w:style w:type="character" w:styleId="a5">
    <w:name w:val="page number"/>
    <w:basedOn w:val="a0"/>
  </w:style>
  <w:style w:type="paragraph" w:styleId="a6">
    <w:name w:val="Date"/>
    <w:basedOn w:val="a"/>
    <w:next w:val="a"/>
  </w:style>
  <w:style w:type="paragraph" w:styleId="a7">
    <w:name w:val="Note Heading"/>
    <w:basedOn w:val="a"/>
    <w:next w:val="a"/>
    <w:rsid w:val="00821376"/>
    <w:pPr>
      <w:jc w:val="center"/>
    </w:pPr>
  </w:style>
  <w:style w:type="paragraph" w:styleId="a8">
    <w:name w:val="Closing"/>
    <w:basedOn w:val="a"/>
    <w:rsid w:val="00821376"/>
    <w:pPr>
      <w:jc w:val="right"/>
    </w:pPr>
  </w:style>
  <w:style w:type="character" w:styleId="a9">
    <w:name w:val="Hyperlink"/>
    <w:rsid w:val="00BC0537"/>
    <w:rPr>
      <w:color w:val="0000FF"/>
      <w:u w:val="single"/>
    </w:rPr>
  </w:style>
  <w:style w:type="character" w:styleId="aa">
    <w:name w:val="FollowedHyperlink"/>
    <w:rsid w:val="00BC0537"/>
    <w:rPr>
      <w:color w:val="800080"/>
      <w:u w:val="single"/>
    </w:rPr>
  </w:style>
  <w:style w:type="paragraph" w:styleId="ab">
    <w:name w:val="Body Text Indent"/>
    <w:basedOn w:val="a"/>
    <w:rsid w:val="00AB26FE"/>
    <w:pPr>
      <w:pBdr>
        <w:top w:val="single" w:sz="4" w:space="1" w:color="auto"/>
        <w:left w:val="single" w:sz="4" w:space="4" w:color="auto"/>
        <w:bottom w:val="single" w:sz="4" w:space="1" w:color="auto"/>
        <w:right w:val="single" w:sz="4" w:space="4" w:color="auto"/>
      </w:pBdr>
      <w:autoSpaceDE w:val="0"/>
      <w:autoSpaceDN w:val="0"/>
      <w:ind w:left="216" w:hangingChars="100" w:hanging="216"/>
    </w:pPr>
  </w:style>
  <w:style w:type="paragraph" w:styleId="20">
    <w:name w:val="Body Text Indent 2"/>
    <w:basedOn w:val="a"/>
    <w:rsid w:val="00AB26FE"/>
    <w:pPr>
      <w:spacing w:line="480" w:lineRule="auto"/>
      <w:ind w:leftChars="400" w:left="851"/>
    </w:pPr>
  </w:style>
  <w:style w:type="paragraph" w:customStyle="1" w:styleId="tacmt10">
    <w:name w:val="ta_c mt10"/>
    <w:basedOn w:val="a"/>
    <w:rsid w:val="00CB4819"/>
    <w:pPr>
      <w:widowControl/>
      <w:spacing w:line="360" w:lineRule="auto"/>
      <w:jc w:val="left"/>
    </w:pPr>
    <w:rPr>
      <w:rFonts w:ascii="ＭＳ Ｐゴシック" w:eastAsia="ＭＳ Ｐゴシック" w:hAnsi="ＭＳ Ｐゴシック" w:cs="ＭＳ Ｐゴシック"/>
      <w:kern w:val="0"/>
      <w:sz w:val="20"/>
      <w:szCs w:val="20"/>
    </w:rPr>
  </w:style>
  <w:style w:type="paragraph" w:customStyle="1" w:styleId="ml10mt15">
    <w:name w:val="ml10 mt15"/>
    <w:basedOn w:val="a"/>
    <w:rsid w:val="00CB4819"/>
    <w:pPr>
      <w:widowControl/>
      <w:spacing w:line="360" w:lineRule="auto"/>
      <w:jc w:val="left"/>
    </w:pPr>
    <w:rPr>
      <w:rFonts w:ascii="ＭＳ Ｐゴシック" w:eastAsia="ＭＳ Ｐゴシック" w:hAnsi="ＭＳ Ｐゴシック" w:cs="ＭＳ Ｐゴシック"/>
      <w:kern w:val="0"/>
      <w:sz w:val="20"/>
      <w:szCs w:val="20"/>
    </w:rPr>
  </w:style>
  <w:style w:type="paragraph" w:customStyle="1" w:styleId="ml10mt10">
    <w:name w:val="ml10 mt10"/>
    <w:basedOn w:val="a"/>
    <w:rsid w:val="00CB4819"/>
    <w:pPr>
      <w:widowControl/>
      <w:spacing w:line="360" w:lineRule="auto"/>
      <w:jc w:val="left"/>
    </w:pPr>
    <w:rPr>
      <w:rFonts w:ascii="ＭＳ Ｐゴシック" w:eastAsia="ＭＳ Ｐゴシック" w:hAnsi="ＭＳ Ｐゴシック" w:cs="ＭＳ Ｐゴシック"/>
      <w:kern w:val="0"/>
      <w:sz w:val="20"/>
      <w:szCs w:val="20"/>
    </w:rPr>
  </w:style>
  <w:style w:type="paragraph" w:customStyle="1" w:styleId="tacmt20">
    <w:name w:val="ta_c mt20"/>
    <w:basedOn w:val="a"/>
    <w:rsid w:val="00CB4819"/>
    <w:pPr>
      <w:widowControl/>
      <w:spacing w:line="360" w:lineRule="auto"/>
      <w:jc w:val="left"/>
    </w:pPr>
    <w:rPr>
      <w:rFonts w:ascii="ＭＳ Ｐゴシック" w:eastAsia="ＭＳ Ｐゴシック" w:hAnsi="ＭＳ Ｐゴシック" w:cs="ＭＳ Ｐゴシック"/>
      <w:kern w:val="0"/>
      <w:sz w:val="20"/>
      <w:szCs w:val="20"/>
    </w:rPr>
  </w:style>
  <w:style w:type="paragraph" w:styleId="ac">
    <w:name w:val="header"/>
    <w:basedOn w:val="a"/>
    <w:link w:val="ad"/>
    <w:uiPriority w:val="99"/>
    <w:rsid w:val="00F441E7"/>
    <w:pPr>
      <w:tabs>
        <w:tab w:val="center" w:pos="4252"/>
        <w:tab w:val="right" w:pos="8504"/>
      </w:tabs>
      <w:snapToGrid w:val="0"/>
    </w:pPr>
  </w:style>
  <w:style w:type="character" w:customStyle="1" w:styleId="ad">
    <w:name w:val="ヘッダー (文字)"/>
    <w:link w:val="ac"/>
    <w:uiPriority w:val="99"/>
    <w:rsid w:val="00F441E7"/>
    <w:rPr>
      <w:rFonts w:ascii="ＭＳ 明朝"/>
      <w:kern w:val="2"/>
      <w:sz w:val="21"/>
      <w:szCs w:val="24"/>
    </w:rPr>
  </w:style>
  <w:style w:type="character" w:customStyle="1" w:styleId="a4">
    <w:name w:val="フッター (文字)"/>
    <w:link w:val="a3"/>
    <w:uiPriority w:val="99"/>
    <w:rsid w:val="00212BCC"/>
    <w:rPr>
      <w:rFonts w:ascii="ＭＳ 明朝"/>
      <w:kern w:val="2"/>
      <w:sz w:val="21"/>
      <w:szCs w:val="24"/>
    </w:rPr>
  </w:style>
  <w:style w:type="paragraph" w:styleId="ae">
    <w:name w:val="Balloon Text"/>
    <w:basedOn w:val="a"/>
    <w:link w:val="af"/>
    <w:rsid w:val="00A3733F"/>
    <w:rPr>
      <w:rFonts w:asciiTheme="majorHAnsi" w:eastAsiaTheme="majorEastAsia" w:hAnsiTheme="majorHAnsi" w:cstheme="majorBidi"/>
      <w:sz w:val="18"/>
      <w:szCs w:val="18"/>
    </w:rPr>
  </w:style>
  <w:style w:type="character" w:customStyle="1" w:styleId="af">
    <w:name w:val="吹き出し (文字)"/>
    <w:basedOn w:val="a0"/>
    <w:link w:val="ae"/>
    <w:rsid w:val="00A3733F"/>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480848">
      <w:bodyDiv w:val="1"/>
      <w:marLeft w:val="0"/>
      <w:marRight w:val="0"/>
      <w:marTop w:val="0"/>
      <w:marBottom w:val="0"/>
      <w:divBdr>
        <w:top w:val="none" w:sz="0" w:space="0" w:color="auto"/>
        <w:left w:val="none" w:sz="0" w:space="0" w:color="auto"/>
        <w:bottom w:val="none" w:sz="0" w:space="0" w:color="auto"/>
        <w:right w:val="none" w:sz="0" w:space="0" w:color="auto"/>
      </w:divBdr>
      <w:divsChild>
        <w:div w:id="420444025">
          <w:marLeft w:val="0"/>
          <w:marRight w:val="0"/>
          <w:marTop w:val="0"/>
          <w:marBottom w:val="0"/>
          <w:divBdr>
            <w:top w:val="none" w:sz="0" w:space="0" w:color="auto"/>
            <w:left w:val="none" w:sz="0" w:space="0" w:color="auto"/>
            <w:bottom w:val="none" w:sz="0" w:space="0" w:color="auto"/>
            <w:right w:val="none" w:sz="0" w:space="0" w:color="auto"/>
          </w:divBdr>
          <w:divsChild>
            <w:div w:id="1793402233">
              <w:marLeft w:val="0"/>
              <w:marRight w:val="0"/>
              <w:marTop w:val="0"/>
              <w:marBottom w:val="0"/>
              <w:divBdr>
                <w:top w:val="none" w:sz="0" w:space="0" w:color="auto"/>
                <w:left w:val="none" w:sz="0" w:space="0" w:color="auto"/>
                <w:bottom w:val="none" w:sz="0" w:space="0" w:color="auto"/>
                <w:right w:val="none" w:sz="0" w:space="0" w:color="auto"/>
              </w:divBdr>
              <w:divsChild>
                <w:div w:id="36124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27836">
          <w:marLeft w:val="0"/>
          <w:marRight w:val="0"/>
          <w:marTop w:val="0"/>
          <w:marBottom w:val="0"/>
          <w:divBdr>
            <w:top w:val="none" w:sz="0" w:space="0" w:color="auto"/>
            <w:left w:val="none" w:sz="0" w:space="0" w:color="auto"/>
            <w:bottom w:val="none" w:sz="0" w:space="0" w:color="auto"/>
            <w:right w:val="none" w:sz="0" w:space="0" w:color="auto"/>
          </w:divBdr>
        </w:div>
      </w:divsChild>
    </w:div>
    <w:div w:id="928612255">
      <w:bodyDiv w:val="1"/>
      <w:marLeft w:val="0"/>
      <w:marRight w:val="0"/>
      <w:marTop w:val="0"/>
      <w:marBottom w:val="0"/>
      <w:divBdr>
        <w:top w:val="none" w:sz="0" w:space="0" w:color="auto"/>
        <w:left w:val="none" w:sz="0" w:space="0" w:color="auto"/>
        <w:bottom w:val="none" w:sz="0" w:space="0" w:color="auto"/>
        <w:right w:val="none" w:sz="0" w:space="0" w:color="auto"/>
      </w:divBdr>
    </w:div>
    <w:div w:id="1904364453">
      <w:bodyDiv w:val="1"/>
      <w:marLeft w:val="0"/>
      <w:marRight w:val="0"/>
      <w:marTop w:val="0"/>
      <w:marBottom w:val="0"/>
      <w:divBdr>
        <w:top w:val="none" w:sz="0" w:space="0" w:color="auto"/>
        <w:left w:val="none" w:sz="0" w:space="0" w:color="auto"/>
        <w:bottom w:val="none" w:sz="0" w:space="0" w:color="auto"/>
        <w:right w:val="none" w:sz="0" w:space="0" w:color="auto"/>
      </w:divBdr>
      <w:divsChild>
        <w:div w:id="820804199">
          <w:marLeft w:val="0"/>
          <w:marRight w:val="0"/>
          <w:marTop w:val="0"/>
          <w:marBottom w:val="0"/>
          <w:divBdr>
            <w:top w:val="none" w:sz="0" w:space="0" w:color="auto"/>
            <w:left w:val="none" w:sz="0" w:space="0" w:color="auto"/>
            <w:bottom w:val="none" w:sz="0" w:space="0" w:color="auto"/>
            <w:right w:val="none" w:sz="0" w:space="0" w:color="auto"/>
          </w:divBdr>
          <w:divsChild>
            <w:div w:id="1194728134">
              <w:marLeft w:val="0"/>
              <w:marRight w:val="0"/>
              <w:marTop w:val="313"/>
              <w:marBottom w:val="0"/>
              <w:divBdr>
                <w:top w:val="none" w:sz="0" w:space="0" w:color="auto"/>
                <w:left w:val="none" w:sz="0" w:space="0" w:color="auto"/>
                <w:bottom w:val="none" w:sz="0" w:space="0" w:color="auto"/>
                <w:right w:val="none" w:sz="0" w:space="0" w:color="auto"/>
              </w:divBdr>
              <w:divsChild>
                <w:div w:id="763770192">
                  <w:marLeft w:val="25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D1AEE-1AE8-44FF-853B-A347EDEA9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7643</Words>
  <Characters>253</Characters>
  <Application>Microsoft Office Word</Application>
  <DocSecurity>0</DocSecurity>
  <Lines>2</Lines>
  <Paragraphs>15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lpstr>
    </vt:vector>
  </TitlesOfParts>
  <Company/>
  <LinksUpToDate>false</LinksUpToDate>
  <CharactersWithSpaces>7881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全日本金属産業労働組合協議会</dc:creator>
  <cp:keywords/>
  <dc:description/>
  <cp:lastModifiedBy>asai</cp:lastModifiedBy>
  <cp:revision>3</cp:revision>
  <cp:lastPrinted>2018-03-09T04:38:00Z</cp:lastPrinted>
  <dcterms:created xsi:type="dcterms:W3CDTF">2020-04-27T00:46:00Z</dcterms:created>
  <dcterms:modified xsi:type="dcterms:W3CDTF">2020-04-27T01:33:00Z</dcterms:modified>
</cp:coreProperties>
</file>